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A1" w:rsidRDefault="003606A1" w:rsidP="003606A1">
      <w:pPr>
        <w:pStyle w:val="Heading1"/>
      </w:pPr>
      <w:r w:rsidRPr="00265EA3">
        <w:rPr>
          <w:highlight w:val="yellow"/>
        </w:rPr>
        <w:t>&lt;</w:t>
      </w:r>
      <w:r w:rsidR="00265EA3" w:rsidRPr="00265EA3">
        <w:rPr>
          <w:highlight w:val="yellow"/>
        </w:rPr>
        <w:t xml:space="preserve">Insert Local Area </w:t>
      </w:r>
      <w:r w:rsidRPr="00265EA3">
        <w:rPr>
          <w:highlight w:val="yellow"/>
        </w:rPr>
        <w:t>&gt;</w:t>
      </w:r>
      <w:r w:rsidR="00265EA3">
        <w:t xml:space="preserve"> WHS Committee Charter</w:t>
      </w:r>
    </w:p>
    <w:p w:rsidR="00B811E2" w:rsidRDefault="00D80CD6" w:rsidP="00B811E2">
      <w:pPr>
        <w:pStyle w:val="Heading2"/>
      </w:pPr>
      <w:r>
        <w:t xml:space="preserve">Purpose </w:t>
      </w:r>
    </w:p>
    <w:p w:rsidR="00265EA3" w:rsidRDefault="00265EA3" w:rsidP="00B811E2">
      <w:pPr>
        <w:pStyle w:val="Heading2"/>
        <w:rPr>
          <w:rFonts w:asciiTheme="minorHAnsi" w:eastAsiaTheme="minorHAnsi" w:hAnsiTheme="minorHAnsi" w:cstheme="minorBidi"/>
          <w:b w:val="0"/>
          <w:color w:val="auto"/>
          <w:sz w:val="24"/>
          <w:szCs w:val="20"/>
        </w:rPr>
      </w:pPr>
      <w:r w:rsidRPr="00265EA3">
        <w:rPr>
          <w:rFonts w:asciiTheme="minorHAnsi" w:eastAsiaTheme="minorHAnsi" w:hAnsiTheme="minorHAnsi" w:cstheme="minorBidi"/>
          <w:b w:val="0"/>
          <w:color w:val="auto"/>
          <w:sz w:val="24"/>
          <w:szCs w:val="20"/>
        </w:rPr>
        <w:t xml:space="preserve">The purpose of the committee, in co-operation with worker representation and senior management, is to provide oversight of the </w:t>
      </w:r>
      <w:r w:rsidRPr="00265EA3">
        <w:rPr>
          <w:rFonts w:asciiTheme="minorHAnsi" w:eastAsiaTheme="minorHAnsi" w:hAnsiTheme="minorHAnsi" w:cstheme="minorBidi"/>
          <w:b w:val="0"/>
          <w:color w:val="auto"/>
          <w:sz w:val="24"/>
          <w:szCs w:val="20"/>
          <w:highlight w:val="yellow"/>
        </w:rPr>
        <w:t>&lt;insert local area&gt;</w:t>
      </w:r>
      <w:r w:rsidRPr="00265EA3">
        <w:rPr>
          <w:rFonts w:asciiTheme="minorHAnsi" w:eastAsiaTheme="minorHAnsi" w:hAnsiTheme="minorHAnsi" w:cstheme="minorBidi"/>
          <w:b w:val="0"/>
          <w:color w:val="auto"/>
          <w:sz w:val="24"/>
          <w:szCs w:val="20"/>
        </w:rPr>
        <w:t xml:space="preserve"> WHS ensuring continuing suitability and system effectiveness</w:t>
      </w:r>
    </w:p>
    <w:p w:rsidR="00B811E2" w:rsidRDefault="00265EA3" w:rsidP="00B811E2">
      <w:pPr>
        <w:pStyle w:val="Heading2"/>
      </w:pPr>
      <w:r>
        <w:t>Composition and tenure</w:t>
      </w:r>
    </w:p>
    <w:p w:rsidR="00265EA3" w:rsidRPr="007A0C3B" w:rsidRDefault="00265EA3" w:rsidP="00A5022D">
      <w:pPr>
        <w:pStyle w:val="ListNumber"/>
        <w:numPr>
          <w:ilvl w:val="0"/>
          <w:numId w:val="23"/>
        </w:numPr>
        <w:spacing w:line="276" w:lineRule="auto"/>
      </w:pPr>
      <w:r w:rsidRPr="007A0C3B">
        <w:t>The Committee will include members of management and worker representatives, and shall consist of:</w:t>
      </w:r>
    </w:p>
    <w:p w:rsidR="00265EA3" w:rsidRPr="007A0C3B" w:rsidRDefault="00265EA3" w:rsidP="00A5022D">
      <w:pPr>
        <w:pStyle w:val="ListBullet"/>
        <w:spacing w:line="276" w:lineRule="auto"/>
      </w:pPr>
      <w:r w:rsidRPr="007A0C3B">
        <w:t>ex officio, Dean, Deputy Dean, Associate Dean (or their nominees) for the college committees</w:t>
      </w:r>
    </w:p>
    <w:p w:rsidR="00265EA3" w:rsidRPr="007A0C3B" w:rsidRDefault="00265EA3" w:rsidP="00A5022D">
      <w:pPr>
        <w:pStyle w:val="ListBullet"/>
        <w:spacing w:line="276" w:lineRule="auto"/>
      </w:pPr>
      <w:r w:rsidRPr="007A0C3B">
        <w:t>ex officio, the Chief Operating officer (or their nominee) for the portfolio committee</w:t>
      </w:r>
    </w:p>
    <w:p w:rsidR="00265EA3" w:rsidRPr="007A0C3B" w:rsidRDefault="00265EA3" w:rsidP="00A5022D">
      <w:pPr>
        <w:pStyle w:val="ListBullet"/>
        <w:spacing w:line="276" w:lineRule="auto"/>
      </w:pPr>
      <w:r w:rsidRPr="007A0C3B">
        <w:t>ex officio, College General Manager (or their nominee)</w:t>
      </w:r>
    </w:p>
    <w:p w:rsidR="00265EA3" w:rsidRPr="007A0C3B" w:rsidRDefault="00265EA3" w:rsidP="00A5022D">
      <w:pPr>
        <w:pStyle w:val="ListBullet"/>
        <w:spacing w:line="276" w:lineRule="auto"/>
      </w:pPr>
      <w:r w:rsidRPr="007A0C3B">
        <w:t>ex officio, the Associate Director, WEG (Non-Voting) (or their nominee);</w:t>
      </w:r>
    </w:p>
    <w:p w:rsidR="00265EA3" w:rsidRPr="007A0C3B" w:rsidRDefault="00265EA3" w:rsidP="00A5022D">
      <w:pPr>
        <w:pStyle w:val="ListBullet"/>
        <w:spacing w:line="276" w:lineRule="auto"/>
      </w:pPr>
      <w:r w:rsidRPr="007A0C3B">
        <w:t xml:space="preserve">50% plus 1 members, elected by and from each portfolio area for the portfolios; </w:t>
      </w:r>
    </w:p>
    <w:p w:rsidR="00265EA3" w:rsidRPr="007A0C3B" w:rsidRDefault="00265EA3" w:rsidP="00A5022D">
      <w:pPr>
        <w:pStyle w:val="ListBullet"/>
        <w:spacing w:line="276" w:lineRule="auto"/>
      </w:pPr>
      <w:r w:rsidRPr="007A0C3B">
        <w:t>50% plus 1 members, elected by and from each College areas for the colleges</w:t>
      </w:r>
    </w:p>
    <w:p w:rsidR="00C77611" w:rsidRDefault="00265EA3" w:rsidP="00C77611">
      <w:pPr>
        <w:pStyle w:val="Heading2"/>
      </w:pPr>
      <w:r>
        <w:t>Roles and responsibilities</w:t>
      </w:r>
    </w:p>
    <w:p w:rsidR="00265EA3" w:rsidRPr="007A0C3B" w:rsidRDefault="00265EA3" w:rsidP="00A5022D">
      <w:pPr>
        <w:pStyle w:val="ListNumber"/>
        <w:numPr>
          <w:ilvl w:val="0"/>
          <w:numId w:val="23"/>
        </w:numPr>
      </w:pPr>
      <w:r w:rsidRPr="007A0C3B">
        <w:t xml:space="preserve">The committee’s responsibilities, subject to revision by the University WHS Committee, are to monitor, review and where appropriate make recommendations to the University WHS Committee with respect to: </w:t>
      </w:r>
    </w:p>
    <w:p w:rsidR="00265EA3" w:rsidRPr="007A0C3B" w:rsidRDefault="00265EA3" w:rsidP="00265EA3">
      <w:pPr>
        <w:numPr>
          <w:ilvl w:val="0"/>
          <w:numId w:val="21"/>
        </w:numPr>
        <w:spacing w:before="0" w:after="160" w:line="259" w:lineRule="auto"/>
        <w:contextualSpacing/>
        <w:rPr>
          <w:rFonts w:ascii="Arial" w:hAnsi="Arial" w:cs="Arial"/>
          <w:sz w:val="28"/>
        </w:rPr>
      </w:pPr>
      <w:r w:rsidRPr="007A0C3B">
        <w:rPr>
          <w:rFonts w:ascii="Arial" w:hAnsi="Arial" w:cs="Arial"/>
          <w:shd w:val="clear" w:color="auto" w:fill="FFFFFF"/>
        </w:rPr>
        <w:t>Assist in developing standards, rules and procedures relating to health and safety that are to be followed or complied with at the workplace</w:t>
      </w:r>
      <w:r>
        <w:rPr>
          <w:rFonts w:ascii="Arial" w:hAnsi="Arial" w:cs="Arial"/>
          <w:shd w:val="clear" w:color="auto" w:fill="FFFFFF"/>
        </w:rPr>
        <w:t>;</w:t>
      </w:r>
    </w:p>
    <w:p w:rsidR="00265EA3" w:rsidRPr="007A0C3B" w:rsidRDefault="00265EA3" w:rsidP="00265EA3">
      <w:pPr>
        <w:numPr>
          <w:ilvl w:val="0"/>
          <w:numId w:val="20"/>
        </w:numPr>
        <w:spacing w:before="0" w:after="160" w:line="259" w:lineRule="auto"/>
        <w:contextualSpacing/>
        <w:rPr>
          <w:rFonts w:ascii="Arial" w:hAnsi="Arial" w:cs="Arial"/>
        </w:rPr>
      </w:pPr>
      <w:r w:rsidRPr="007A0C3B">
        <w:rPr>
          <w:rFonts w:ascii="Arial" w:hAnsi="Arial" w:cs="Arial"/>
        </w:rPr>
        <w:t>Assisting in the development and implementation of the College or Portfolio’s WHS</w:t>
      </w:r>
      <w:r>
        <w:rPr>
          <w:rFonts w:ascii="Arial" w:hAnsi="Arial" w:cs="Arial"/>
        </w:rPr>
        <w:t xml:space="preserve"> strategy;</w:t>
      </w:r>
    </w:p>
    <w:p w:rsidR="00265EA3" w:rsidRPr="007A0C3B" w:rsidRDefault="00265EA3" w:rsidP="00265EA3">
      <w:pPr>
        <w:numPr>
          <w:ilvl w:val="0"/>
          <w:numId w:val="20"/>
        </w:numPr>
        <w:spacing w:before="0" w:after="160" w:line="259" w:lineRule="auto"/>
        <w:contextualSpacing/>
        <w:rPr>
          <w:rFonts w:ascii="Arial" w:hAnsi="Arial" w:cs="Arial"/>
        </w:rPr>
      </w:pPr>
      <w:r w:rsidRPr="007A0C3B">
        <w:rPr>
          <w:rFonts w:ascii="Arial" w:hAnsi="Arial" w:cs="Arial"/>
        </w:rPr>
        <w:t>Relevant WHS issues and performance</w:t>
      </w:r>
      <w:r>
        <w:rPr>
          <w:rFonts w:ascii="Arial" w:hAnsi="Arial" w:cs="Arial"/>
        </w:rPr>
        <w:t>;</w:t>
      </w:r>
    </w:p>
    <w:p w:rsidR="00265EA3" w:rsidRPr="007A0C3B" w:rsidRDefault="00265EA3" w:rsidP="00265EA3">
      <w:pPr>
        <w:numPr>
          <w:ilvl w:val="0"/>
          <w:numId w:val="20"/>
        </w:numPr>
        <w:spacing w:before="0" w:after="160" w:line="259" w:lineRule="auto"/>
        <w:contextualSpacing/>
        <w:rPr>
          <w:rFonts w:ascii="Arial" w:hAnsi="Arial" w:cs="Arial"/>
        </w:rPr>
      </w:pPr>
      <w:r w:rsidRPr="007A0C3B">
        <w:rPr>
          <w:rFonts w:ascii="Arial" w:hAnsi="Arial" w:cs="Arial"/>
        </w:rPr>
        <w:t>Review the performance of the WHS System</w:t>
      </w:r>
      <w:r>
        <w:rPr>
          <w:rFonts w:ascii="Arial" w:hAnsi="Arial" w:cs="Arial"/>
        </w:rPr>
        <w:t>;</w:t>
      </w:r>
    </w:p>
    <w:p w:rsidR="00265EA3" w:rsidRPr="007A0C3B" w:rsidRDefault="00265EA3" w:rsidP="00265EA3">
      <w:pPr>
        <w:numPr>
          <w:ilvl w:val="0"/>
          <w:numId w:val="20"/>
        </w:numPr>
        <w:spacing w:before="0" w:after="160" w:line="259" w:lineRule="auto"/>
        <w:contextualSpacing/>
        <w:rPr>
          <w:rFonts w:ascii="Arial" w:hAnsi="Arial" w:cs="Arial"/>
        </w:rPr>
      </w:pPr>
      <w:r w:rsidRPr="007A0C3B">
        <w:rPr>
          <w:rFonts w:ascii="Arial" w:hAnsi="Arial" w:cs="Arial"/>
        </w:rPr>
        <w:t>Review of trending patterns of incidents and injuries</w:t>
      </w:r>
      <w:r>
        <w:rPr>
          <w:rFonts w:ascii="Arial" w:hAnsi="Arial" w:cs="Arial"/>
        </w:rPr>
        <w:t>;</w:t>
      </w:r>
    </w:p>
    <w:p w:rsidR="00265EA3" w:rsidRDefault="00265EA3" w:rsidP="00265EA3">
      <w:pPr>
        <w:numPr>
          <w:ilvl w:val="0"/>
          <w:numId w:val="20"/>
        </w:numPr>
        <w:spacing w:before="0" w:after="160" w:line="259" w:lineRule="auto"/>
        <w:contextualSpacing/>
        <w:rPr>
          <w:rFonts w:ascii="Arial" w:hAnsi="Arial" w:cs="Arial"/>
        </w:rPr>
      </w:pPr>
      <w:r w:rsidRPr="007A0C3B">
        <w:rPr>
          <w:rFonts w:ascii="Arial" w:hAnsi="Arial" w:cs="Arial"/>
        </w:rPr>
        <w:t>Facilitate of cooperation between management and staff in the resolution of WHS issues.</w:t>
      </w:r>
    </w:p>
    <w:p w:rsidR="00265EA3" w:rsidRDefault="00265EA3" w:rsidP="00265EA3">
      <w:pPr>
        <w:pStyle w:val="Heading2"/>
      </w:pPr>
      <w:r>
        <w:lastRenderedPageBreak/>
        <w:t>Reporting</w:t>
      </w:r>
    </w:p>
    <w:p w:rsidR="00265EA3" w:rsidRPr="00A5022D" w:rsidRDefault="00265EA3" w:rsidP="00A5022D">
      <w:pPr>
        <w:pStyle w:val="ListNumber"/>
        <w:numPr>
          <w:ilvl w:val="0"/>
          <w:numId w:val="23"/>
        </w:numPr>
      </w:pPr>
      <w:r w:rsidRPr="00A5022D">
        <w:t xml:space="preserve">The Committee will report quarterly to the University WHS Committee, on relevant matters pertaining to: </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WHS strategies;</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annual business plans;</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performance indicators;</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 xml:space="preserve">performance outcomes; </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recommendations given for corrective actions;</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Committee meetings held and attendance against the annual objectives; and</w:t>
      </w:r>
    </w:p>
    <w:p w:rsidR="00265EA3" w:rsidRPr="007A0C3B" w:rsidRDefault="00265EA3" w:rsidP="00265EA3">
      <w:pPr>
        <w:numPr>
          <w:ilvl w:val="0"/>
          <w:numId w:val="22"/>
        </w:numPr>
        <w:spacing w:before="0" w:after="160" w:line="259" w:lineRule="auto"/>
        <w:contextualSpacing/>
        <w:rPr>
          <w:rFonts w:ascii="Arial" w:hAnsi="Arial" w:cs="Arial"/>
        </w:rPr>
      </w:pPr>
      <w:r w:rsidRPr="007A0C3B">
        <w:rPr>
          <w:rFonts w:ascii="Arial" w:hAnsi="Arial" w:cs="Arial"/>
        </w:rPr>
        <w:t xml:space="preserve">WHS incidents and corrective actions. </w:t>
      </w:r>
      <w:r>
        <w:rPr>
          <w:rFonts w:ascii="Arial" w:hAnsi="Arial" w:cs="Arial"/>
        </w:rPr>
        <w:br/>
      </w:r>
    </w:p>
    <w:p w:rsidR="00265EA3" w:rsidRPr="007A0C3B" w:rsidRDefault="00265EA3" w:rsidP="00A5022D">
      <w:pPr>
        <w:pStyle w:val="ListNumber"/>
        <w:numPr>
          <w:ilvl w:val="0"/>
          <w:numId w:val="23"/>
        </w:numPr>
      </w:pPr>
      <w:r w:rsidRPr="007A0C3B">
        <w:t xml:space="preserve">The committee may report on any other matter to the University WHS Committee </w:t>
      </w:r>
    </w:p>
    <w:p w:rsidR="00265EA3" w:rsidRPr="007A0C3B" w:rsidRDefault="00265EA3" w:rsidP="00A5022D">
      <w:pPr>
        <w:pStyle w:val="ListNumber"/>
        <w:numPr>
          <w:ilvl w:val="0"/>
          <w:numId w:val="23"/>
        </w:numPr>
      </w:pPr>
      <w:r w:rsidRPr="007A0C3B">
        <w:t>The committee shall receive reports from each of its responsible sub-committees, individuals implementing an action of the committee and advisory groups quarterly.</w:t>
      </w:r>
    </w:p>
    <w:p w:rsidR="00265EA3" w:rsidRDefault="00265EA3" w:rsidP="00265EA3">
      <w:pPr>
        <w:pStyle w:val="Heading2"/>
      </w:pPr>
      <w:r>
        <w:t>Administrative Arrangements</w:t>
      </w:r>
    </w:p>
    <w:p w:rsidR="00265EA3" w:rsidRDefault="00265EA3" w:rsidP="00265EA3">
      <w:pPr>
        <w:pStyle w:val="Heading3"/>
      </w:pPr>
      <w:r>
        <w:t>Meetings and planning</w:t>
      </w:r>
    </w:p>
    <w:p w:rsidR="00265EA3" w:rsidRPr="007A0C3B" w:rsidRDefault="00265EA3" w:rsidP="00A5022D">
      <w:pPr>
        <w:pStyle w:val="ListNumber"/>
        <w:numPr>
          <w:ilvl w:val="0"/>
          <w:numId w:val="23"/>
        </w:numPr>
      </w:pPr>
      <w:r w:rsidRPr="007A0C3B">
        <w:t>The committee shall meet quarterly or as required by the Chair on dates determined by the Chair.</w:t>
      </w:r>
    </w:p>
    <w:p w:rsidR="00265EA3" w:rsidRPr="00A5022D" w:rsidRDefault="00265EA3" w:rsidP="00A5022D">
      <w:pPr>
        <w:pStyle w:val="ListParagraph"/>
        <w:numPr>
          <w:ilvl w:val="0"/>
          <w:numId w:val="23"/>
        </w:numPr>
        <w:rPr>
          <w:rFonts w:ascii="Arial" w:hAnsi="Arial" w:cs="Arial"/>
        </w:rPr>
      </w:pPr>
      <w:r w:rsidRPr="00A5022D">
        <w:rPr>
          <w:rFonts w:ascii="Arial" w:hAnsi="Arial" w:cs="Arial"/>
        </w:rPr>
        <w:t xml:space="preserve">The Chair is required to call an additional meeting if asked to do so by at least half of the committee members. </w:t>
      </w:r>
    </w:p>
    <w:p w:rsidR="00265EA3" w:rsidRPr="00A5022D" w:rsidRDefault="00265EA3" w:rsidP="00A5022D">
      <w:pPr>
        <w:pStyle w:val="ListParagraph"/>
        <w:numPr>
          <w:ilvl w:val="0"/>
          <w:numId w:val="23"/>
        </w:numPr>
        <w:rPr>
          <w:rFonts w:ascii="Arial" w:hAnsi="Arial" w:cs="Arial"/>
        </w:rPr>
      </w:pPr>
      <w:r w:rsidRPr="00A5022D">
        <w:rPr>
          <w:rFonts w:ascii="Arial" w:hAnsi="Arial" w:cs="Arial"/>
        </w:rPr>
        <w:t>A forward meeting plan, including meeting dates, location and agenda items, will be agreed by the Committee each year. The forward meeting plan will cover all of its responsibilities, as detailed in this Charter.</w:t>
      </w:r>
    </w:p>
    <w:p w:rsidR="00265EA3" w:rsidRDefault="00265EA3" w:rsidP="00265EA3">
      <w:pPr>
        <w:pStyle w:val="Heading3"/>
      </w:pPr>
      <w:r>
        <w:t>Attendance at meetings and quorums</w:t>
      </w:r>
    </w:p>
    <w:p w:rsidR="00265EA3" w:rsidRPr="007A0C3B" w:rsidRDefault="00265EA3" w:rsidP="00A5022D">
      <w:pPr>
        <w:pStyle w:val="ListNumber"/>
        <w:numPr>
          <w:ilvl w:val="0"/>
          <w:numId w:val="23"/>
        </w:numPr>
      </w:pPr>
      <w:r w:rsidRPr="007A0C3B">
        <w:t xml:space="preserve">A quorum shall consist of a minimum six committee members, of which at least </w:t>
      </w:r>
      <w:r w:rsidR="00741EA0" w:rsidRPr="00741EA0">
        <w:rPr>
          <w:highlight w:val="yellow"/>
        </w:rPr>
        <w:t>&lt;insert certain agreed number if appropriate to</w:t>
      </w:r>
      <w:r w:rsidR="00DB4882">
        <w:rPr>
          <w:highlight w:val="yellow"/>
        </w:rPr>
        <w:t xml:space="preserve"> the</w:t>
      </w:r>
      <w:bookmarkStart w:id="0" w:name="_GoBack"/>
      <w:bookmarkEnd w:id="0"/>
      <w:r w:rsidR="00741EA0" w:rsidRPr="00741EA0">
        <w:rPr>
          <w:highlight w:val="yellow"/>
        </w:rPr>
        <w:t xml:space="preserve"> local area&gt;</w:t>
      </w:r>
      <w:r w:rsidR="00741EA0">
        <w:t xml:space="preserve"> should be </w:t>
      </w:r>
      <w:r w:rsidRPr="007A0C3B">
        <w:t>HSRs.</w:t>
      </w:r>
    </w:p>
    <w:p w:rsidR="00265EA3" w:rsidRPr="00A5022D" w:rsidRDefault="00A5022D" w:rsidP="00A5022D">
      <w:pPr>
        <w:pStyle w:val="ListParagraph"/>
        <w:numPr>
          <w:ilvl w:val="0"/>
          <w:numId w:val="23"/>
        </w:numPr>
        <w:rPr>
          <w:rFonts w:ascii="Arial" w:hAnsi="Arial" w:cs="Arial"/>
        </w:rPr>
      </w:pPr>
      <w:r>
        <w:rPr>
          <w:rFonts w:ascii="Arial" w:hAnsi="Arial" w:cs="Arial"/>
        </w:rPr>
        <w:t xml:space="preserve"> </w:t>
      </w:r>
      <w:r w:rsidR="00265EA3" w:rsidRPr="00A5022D">
        <w:rPr>
          <w:rFonts w:ascii="Arial" w:hAnsi="Arial" w:cs="Arial"/>
        </w:rPr>
        <w:t xml:space="preserve">Representatives from Specialist Advisory Groups may, when invited, attend Committee meetings and contribute to its deliberations. </w:t>
      </w:r>
    </w:p>
    <w:p w:rsidR="00265EA3" w:rsidRPr="00A5022D" w:rsidRDefault="00A5022D" w:rsidP="00A5022D">
      <w:pPr>
        <w:pStyle w:val="ListParagraph"/>
        <w:numPr>
          <w:ilvl w:val="0"/>
          <w:numId w:val="23"/>
        </w:numPr>
        <w:rPr>
          <w:rFonts w:ascii="Arial" w:hAnsi="Arial" w:cs="Arial"/>
        </w:rPr>
      </w:pPr>
      <w:r>
        <w:rPr>
          <w:rFonts w:ascii="Arial" w:hAnsi="Arial" w:cs="Arial"/>
        </w:rPr>
        <w:t xml:space="preserve"> </w:t>
      </w:r>
      <w:r w:rsidR="00265EA3" w:rsidRPr="00A5022D">
        <w:rPr>
          <w:rFonts w:ascii="Arial" w:hAnsi="Arial" w:cs="Arial"/>
        </w:rPr>
        <w:t>The Chair of the committee may request any other ANU employee and/or external party to attend Committee meetings or participate in certain agenda items.</w:t>
      </w:r>
    </w:p>
    <w:p w:rsidR="00265EA3" w:rsidRDefault="00265EA3" w:rsidP="00265EA3">
      <w:pPr>
        <w:pStyle w:val="Heading3"/>
      </w:pPr>
      <w:r>
        <w:lastRenderedPageBreak/>
        <w:t>Formation of sub-committees</w:t>
      </w:r>
    </w:p>
    <w:p w:rsidR="00522E74" w:rsidRPr="00522E74" w:rsidRDefault="00A5022D" w:rsidP="00522E74">
      <w:pPr>
        <w:pStyle w:val="ListNumber"/>
        <w:numPr>
          <w:ilvl w:val="0"/>
          <w:numId w:val="23"/>
        </w:numPr>
      </w:pPr>
      <w:r>
        <w:t xml:space="preserve"> </w:t>
      </w:r>
      <w:r w:rsidR="00265EA3" w:rsidRPr="007A0C3B">
        <w:t>A sub-committee is formed to give advice on a specific task or hazard. The Chair shall determine the size and membership and duration of the sub-committee. The Chair shall determine if a charter is required and the content of that charter (if any).</w:t>
      </w:r>
    </w:p>
    <w:p w:rsidR="00BB650F" w:rsidRDefault="00BB650F" w:rsidP="00BB650F">
      <w:pPr>
        <w:pStyle w:val="Heading3"/>
      </w:pPr>
      <w:r>
        <w:t>Secretariat</w:t>
      </w:r>
    </w:p>
    <w:p w:rsidR="00BB650F" w:rsidRPr="007A0C3B" w:rsidRDefault="00A5022D" w:rsidP="00A5022D">
      <w:pPr>
        <w:pStyle w:val="ListNumber"/>
        <w:numPr>
          <w:ilvl w:val="0"/>
          <w:numId w:val="23"/>
        </w:numPr>
      </w:pPr>
      <w:r>
        <w:t xml:space="preserve"> </w:t>
      </w:r>
      <w:r w:rsidR="00BB650F" w:rsidRPr="007A0C3B">
        <w:t>The WHS Committee chair shall make provision for secretariat support to the committee.</w:t>
      </w:r>
    </w:p>
    <w:p w:rsidR="00BB650F" w:rsidRPr="007A0C3B" w:rsidRDefault="00BB650F" w:rsidP="00A5022D">
      <w:pPr>
        <w:pStyle w:val="ListNumber"/>
        <w:numPr>
          <w:ilvl w:val="0"/>
          <w:numId w:val="23"/>
        </w:numPr>
      </w:pPr>
      <w:r w:rsidRPr="007A0C3B">
        <w:t>The Secretariat will ensure the agenda and supporting papers for each meeting are circulated, after approval from the Chair and at least 5 days before the meeting.</w:t>
      </w:r>
    </w:p>
    <w:p w:rsidR="00BB650F" w:rsidRPr="007A0C3B" w:rsidRDefault="00BB650F" w:rsidP="00A5022D">
      <w:pPr>
        <w:pStyle w:val="ListNumber"/>
        <w:numPr>
          <w:ilvl w:val="0"/>
          <w:numId w:val="23"/>
        </w:numPr>
      </w:pPr>
      <w:r w:rsidRPr="007A0C3B">
        <w:t>The Chair may structure the agenda to suit the needs of the committee. The standing agenda at a minimum must meet the requirements of the committee.</w:t>
      </w:r>
    </w:p>
    <w:p w:rsidR="00BB650F" w:rsidRPr="00BB650F" w:rsidRDefault="00BB650F" w:rsidP="00BB650F"/>
    <w:p w:rsidR="00265EA3" w:rsidRPr="00265EA3" w:rsidRDefault="00265EA3" w:rsidP="00265EA3"/>
    <w:sectPr w:rsidR="00265EA3" w:rsidRPr="00265EA3" w:rsidSect="00091CA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C6" w:rsidRDefault="00724DC6" w:rsidP="00032FD1">
      <w:pPr>
        <w:spacing w:before="0" w:after="0" w:line="240" w:lineRule="auto"/>
      </w:pPr>
      <w:r>
        <w:separator/>
      </w:r>
    </w:p>
  </w:endnote>
  <w:endnote w:type="continuationSeparator" w:id="0">
    <w:p w:rsidR="00724DC6" w:rsidRDefault="00724DC6"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86" w:rsidRDefault="00331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C7" w:rsidRPr="00631A09" w:rsidRDefault="00331D86" w:rsidP="00184BC7">
    <w:pPr>
      <w:pStyle w:val="Footer"/>
      <w:tabs>
        <w:tab w:val="right" w:pos="9639"/>
      </w:tabs>
      <w:jc w:val="right"/>
      <w:rPr>
        <w:noProof/>
        <w:lang w:val="en-US"/>
      </w:rPr>
    </w:pPr>
    <w:r>
      <w:t>Form: WHS Committee charter</w:t>
      <w:tab/>
      <w:t xml:space="preserve">TEQSA Provider ID: PRV12002 </w:t>
      <w:br/>
      <w:t xml:space="preserve">ABN : 52 234 063 906 </w:t>
      <w:br/>
      <w:t>Page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C7" w:rsidRPr="00184BC7" w:rsidRDefault="00265EA3" w:rsidP="00184BC7">
    <w:pPr>
      <w:pStyle w:val="Footer"/>
      <w:tabs>
        <w:tab w:val="right" w:pos="9639"/>
      </w:tabs>
      <w:jc w:val="right"/>
      <w:rPr>
        <w:noProof/>
        <w:lang w:val="en-US"/>
      </w:rPr>
    </w:pPr>
    <w:r>
      <w:t>Form: WHS Committee charter</w:t>
      <w:tab/>
      <w:t xml:space="preserve">TEQSA Provider ID: PRV12002 </w:t>
      <w:br/>
      <w:t xml:space="preserve">ABN : 52 234 063 906 </w:t>
      <w:b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C6" w:rsidRDefault="00724DC6" w:rsidP="00032FD1">
      <w:pPr>
        <w:spacing w:before="0" w:after="0" w:line="240" w:lineRule="auto"/>
      </w:pPr>
      <w:r>
        <w:separator/>
      </w:r>
    </w:p>
  </w:footnote>
  <w:footnote w:type="continuationSeparator" w:id="0">
    <w:p w:rsidR="00724DC6" w:rsidRDefault="00724DC6" w:rsidP="00032F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86" w:rsidRDefault="00331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6164"/>
    </w:tblGrid>
    <w:tr w:rsidR="00522E74" w:rsidRPr="00B109B7" w:rsidTr="00322D46">
      <w:trPr>
        <w:trHeight w:val="213"/>
      </w:trPr>
      <w:tc>
        <w:tcPr>
          <w:tcW w:w="2803" w:type="dxa"/>
        </w:tcPr>
        <w:p w:rsidR="00522E74" w:rsidRDefault="00522E74" w:rsidP="00522E74">
          <w:pPr>
            <w:pStyle w:val="Header"/>
          </w:pPr>
          <w:r>
            <w:rPr>
              <w:noProof/>
              <w:lang w:eastAsia="en-AU"/>
            </w:rPr>
            <w:drawing>
              <wp:inline distT="0" distB="0" distL="0" distR="0" wp14:anchorId="15B489EA" wp14:editId="4A1B867C">
                <wp:extent cx="1620000" cy="563420"/>
                <wp:effectExtent l="0" t="0" r="0" b="8255"/>
                <wp:docPr id="2" name="Picture 2"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tc>
      <w:tc>
        <w:tcPr>
          <w:tcW w:w="6164" w:type="dxa"/>
        </w:tcPr>
        <w:p w:rsidR="00522E74" w:rsidRPr="00522E74" w:rsidRDefault="00522E74" w:rsidP="00F43E2D">
          <w:pPr>
            <w:pStyle w:val="Heading1"/>
            <w:spacing w:before="0"/>
            <w:outlineLvl w:val="0"/>
            <w:rPr>
              <w:rFonts w:ascii="Arial" w:hAnsi="Arial" w:cs="Arial"/>
              <w:b w:val="0"/>
              <w:color w:val="auto"/>
              <w:sz w:val="36"/>
              <w:szCs w:val="36"/>
            </w:rPr>
          </w:pPr>
          <w:r>
            <w:rPr>
              <w:rFonts w:ascii="Arial" w:hAnsi="Arial" w:cs="Arial"/>
              <w:color w:val="auto"/>
              <w:sz w:val="36"/>
              <w:szCs w:val="36"/>
            </w:rPr>
            <w:br/>
          </w:r>
        </w:p>
      </w:tc>
    </w:tr>
  </w:tbl>
  <w:p w:rsidR="00265EA3" w:rsidRPr="00265EA3" w:rsidRDefault="00265EA3" w:rsidP="00265EA3">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6164"/>
    </w:tblGrid>
    <w:tr w:rsidR="00522E74" w:rsidRPr="00B109B7" w:rsidTr="00322D46">
      <w:trPr>
        <w:trHeight w:val="213"/>
      </w:trPr>
      <w:tc>
        <w:tcPr>
          <w:tcW w:w="2803" w:type="dxa"/>
        </w:tcPr>
        <w:p w:rsidR="00522E74" w:rsidRDefault="00522E74" w:rsidP="00522E74">
          <w:pPr>
            <w:pStyle w:val="Header"/>
          </w:pPr>
          <w:r>
            <w:rPr>
              <w:noProof/>
              <w:lang w:eastAsia="en-AU"/>
            </w:rPr>
            <w:drawing>
              <wp:inline distT="0" distB="0" distL="0" distR="0" wp14:anchorId="2F5F8F1B" wp14:editId="0001B9DB">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tc>
      <w:tc>
        <w:tcPr>
          <w:tcW w:w="6164" w:type="dxa"/>
        </w:tcPr>
        <w:p w:rsidR="00522E74" w:rsidRPr="00522E74" w:rsidRDefault="00522E74" w:rsidP="00F43E2D">
          <w:pPr>
            <w:pStyle w:val="Heading1"/>
            <w:spacing w:before="0"/>
            <w:outlineLvl w:val="0"/>
            <w:rPr>
              <w:rFonts w:ascii="Arial" w:hAnsi="Arial" w:cs="Arial"/>
              <w:b w:val="0"/>
              <w:color w:val="auto"/>
              <w:sz w:val="36"/>
              <w:szCs w:val="36"/>
            </w:rPr>
          </w:pPr>
          <w:r>
            <w:rPr>
              <w:rFonts w:ascii="Arial" w:hAnsi="Arial" w:cs="Arial"/>
              <w:color w:val="auto"/>
              <w:sz w:val="36"/>
              <w:szCs w:val="36"/>
            </w:rPr>
            <w:br/>
          </w:r>
        </w:p>
      </w:tc>
    </w:tr>
  </w:tbl>
  <w:p w:rsidR="00231693" w:rsidRDefault="00522E74" w:rsidP="00231693">
    <w:pPr>
      <w:pStyle w:val="Header"/>
      <w:jc w:val="left"/>
    </w:pPr>
    <w:r>
      <w:t xml:space="preserve">  </w:t>
    </w:r>
  </w:p>
  <w:p w:rsidR="00231693" w:rsidRDefault="00231693" w:rsidP="0023169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00CDB7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9D464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9A7"/>
    <w:multiLevelType w:val="hybridMultilevel"/>
    <w:tmpl w:val="08BEABDE"/>
    <w:lvl w:ilvl="0" w:tplc="E8CEC1F4">
      <w:start w:val="1"/>
      <w:numFmt w:val="bullet"/>
      <w:pStyle w:val="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8CD1BC4"/>
    <w:multiLevelType w:val="hybridMultilevel"/>
    <w:tmpl w:val="ABE8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EB6908"/>
    <w:multiLevelType w:val="hybridMultilevel"/>
    <w:tmpl w:val="915AD1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782624"/>
    <w:multiLevelType w:val="hybridMultilevel"/>
    <w:tmpl w:val="4838F170"/>
    <w:lvl w:ilvl="0" w:tplc="028C342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CC1DFA"/>
    <w:multiLevelType w:val="hybridMultilevel"/>
    <w:tmpl w:val="DC42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BC26E4"/>
    <w:multiLevelType w:val="hybridMultilevel"/>
    <w:tmpl w:val="B018073C"/>
    <w:lvl w:ilvl="0" w:tplc="0A280D2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14"/>
  </w:num>
  <w:num w:numId="5">
    <w:abstractNumId w:val="16"/>
  </w:num>
  <w:num w:numId="6">
    <w:abstractNumId w:val="17"/>
  </w:num>
  <w:num w:numId="7">
    <w:abstractNumId w:val="18"/>
  </w:num>
  <w:num w:numId="8">
    <w:abstractNumId w:val="15"/>
  </w:num>
  <w:num w:numId="9">
    <w:abstractNumId w:val="7"/>
  </w:num>
  <w:num w:numId="10">
    <w:abstractNumId w:val="20"/>
  </w:num>
  <w:num w:numId="11">
    <w:abstractNumId w:val="21"/>
  </w:num>
  <w:num w:numId="12">
    <w:abstractNumId w:val="3"/>
  </w:num>
  <w:num w:numId="13">
    <w:abstractNumId w:val="1"/>
  </w:num>
  <w:num w:numId="14">
    <w:abstractNumId w:val="0"/>
  </w:num>
  <w:num w:numId="15">
    <w:abstractNumId w:val="9"/>
  </w:num>
  <w:num w:numId="16">
    <w:abstractNumId w:val="8"/>
  </w:num>
  <w:num w:numId="17">
    <w:abstractNumId w:val="19"/>
  </w:num>
  <w:num w:numId="18">
    <w:abstractNumId w:val="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32FD1"/>
    <w:rsid w:val="00091CA7"/>
    <w:rsid w:val="000A6F89"/>
    <w:rsid w:val="000A77E0"/>
    <w:rsid w:val="000C5500"/>
    <w:rsid w:val="000E5723"/>
    <w:rsid w:val="001820E1"/>
    <w:rsid w:val="00184BC7"/>
    <w:rsid w:val="001F3638"/>
    <w:rsid w:val="001F720F"/>
    <w:rsid w:val="00231693"/>
    <w:rsid w:val="00265EA3"/>
    <w:rsid w:val="002E3413"/>
    <w:rsid w:val="0031627A"/>
    <w:rsid w:val="00331D86"/>
    <w:rsid w:val="003326F4"/>
    <w:rsid w:val="00343447"/>
    <w:rsid w:val="00347947"/>
    <w:rsid w:val="003606A1"/>
    <w:rsid w:val="003B73F4"/>
    <w:rsid w:val="003C5173"/>
    <w:rsid w:val="003E6CDB"/>
    <w:rsid w:val="004A3B95"/>
    <w:rsid w:val="004B74A2"/>
    <w:rsid w:val="004E5A69"/>
    <w:rsid w:val="00504AD2"/>
    <w:rsid w:val="005209D1"/>
    <w:rsid w:val="00522E74"/>
    <w:rsid w:val="00563DB6"/>
    <w:rsid w:val="005E502F"/>
    <w:rsid w:val="005F7F9C"/>
    <w:rsid w:val="00623233"/>
    <w:rsid w:val="00631A09"/>
    <w:rsid w:val="00637B9E"/>
    <w:rsid w:val="006402F0"/>
    <w:rsid w:val="006629AA"/>
    <w:rsid w:val="0067259A"/>
    <w:rsid w:val="00672764"/>
    <w:rsid w:val="006C425D"/>
    <w:rsid w:val="006D0B3A"/>
    <w:rsid w:val="006E14F1"/>
    <w:rsid w:val="00724DC6"/>
    <w:rsid w:val="00741EA0"/>
    <w:rsid w:val="00745B1D"/>
    <w:rsid w:val="00776208"/>
    <w:rsid w:val="00782F22"/>
    <w:rsid w:val="007B6083"/>
    <w:rsid w:val="00802DDD"/>
    <w:rsid w:val="0081627C"/>
    <w:rsid w:val="00825F71"/>
    <w:rsid w:val="008A376D"/>
    <w:rsid w:val="00904635"/>
    <w:rsid w:val="00904CE3"/>
    <w:rsid w:val="0091793E"/>
    <w:rsid w:val="0095531F"/>
    <w:rsid w:val="009816DA"/>
    <w:rsid w:val="00990A50"/>
    <w:rsid w:val="00994AFD"/>
    <w:rsid w:val="009C178E"/>
    <w:rsid w:val="009C40C1"/>
    <w:rsid w:val="009C74F5"/>
    <w:rsid w:val="009D3DC0"/>
    <w:rsid w:val="009F285C"/>
    <w:rsid w:val="009F6FFE"/>
    <w:rsid w:val="00A12F13"/>
    <w:rsid w:val="00A16F83"/>
    <w:rsid w:val="00A36563"/>
    <w:rsid w:val="00A5022D"/>
    <w:rsid w:val="00A542A9"/>
    <w:rsid w:val="00A86B86"/>
    <w:rsid w:val="00B41D7F"/>
    <w:rsid w:val="00B5723B"/>
    <w:rsid w:val="00B77718"/>
    <w:rsid w:val="00B811E2"/>
    <w:rsid w:val="00BA2856"/>
    <w:rsid w:val="00BB36B7"/>
    <w:rsid w:val="00BB650F"/>
    <w:rsid w:val="00C77611"/>
    <w:rsid w:val="00C8793B"/>
    <w:rsid w:val="00D2083A"/>
    <w:rsid w:val="00D33A54"/>
    <w:rsid w:val="00D5414A"/>
    <w:rsid w:val="00D56CBD"/>
    <w:rsid w:val="00D80888"/>
    <w:rsid w:val="00D80CD6"/>
    <w:rsid w:val="00D974BA"/>
    <w:rsid w:val="00DB4882"/>
    <w:rsid w:val="00DC1AA9"/>
    <w:rsid w:val="00DD7337"/>
    <w:rsid w:val="00DE4778"/>
    <w:rsid w:val="00E07447"/>
    <w:rsid w:val="00E64110"/>
    <w:rsid w:val="00E82BD2"/>
    <w:rsid w:val="00EC5617"/>
    <w:rsid w:val="00F30345"/>
    <w:rsid w:val="00F34A5B"/>
    <w:rsid w:val="00F43E2D"/>
    <w:rsid w:val="00F4629F"/>
    <w:rsid w:val="00F626FD"/>
    <w:rsid w:val="00F62983"/>
    <w:rsid w:val="00F7319E"/>
    <w:rsid w:val="00F922A3"/>
    <w:rsid w:val="00FC643D"/>
    <w:rsid w:val="00FC6D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E3"/>
    <w:rPr>
      <w:sz w:val="24"/>
    </w:rPr>
  </w:style>
  <w:style w:type="paragraph" w:styleId="Heading1">
    <w:name w:val="heading 1"/>
    <w:basedOn w:val="Normal"/>
    <w:next w:val="Normal"/>
    <w:link w:val="Heading1Char"/>
    <w:uiPriority w:val="9"/>
    <w:qFormat/>
    <w:rsid w:val="00FC643D"/>
    <w:pPr>
      <w:keepNext/>
      <w:keepLines/>
      <w:spacing w:before="360"/>
      <w:outlineLvl w:val="0"/>
    </w:pPr>
    <w:rPr>
      <w:rFonts w:asciiTheme="majorHAnsi" w:eastAsiaTheme="majorEastAsia" w:hAnsiTheme="majorHAnsi" w:cstheme="majorBidi"/>
      <w:b/>
      <w:color w:val="4C6E78" w:themeColor="accent1"/>
      <w:sz w:val="40"/>
      <w:szCs w:val="32"/>
    </w:rPr>
  </w:style>
  <w:style w:type="paragraph" w:styleId="Heading2">
    <w:name w:val="heading 2"/>
    <w:basedOn w:val="Normal"/>
    <w:next w:val="Normal"/>
    <w:link w:val="Heading2Char"/>
    <w:uiPriority w:val="9"/>
    <w:qFormat/>
    <w:rsid w:val="0095531F"/>
    <w:pPr>
      <w:keepNext/>
      <w:keepLines/>
      <w:spacing w:before="280"/>
      <w:outlineLvl w:val="1"/>
    </w:pPr>
    <w:rPr>
      <w:rFonts w:asciiTheme="majorHAnsi" w:eastAsiaTheme="majorEastAsia" w:hAnsiTheme="majorHAnsi" w:cstheme="majorBidi"/>
      <w:b/>
      <w:color w:val="4C6E78" w:themeColor="accent1"/>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D56CBD"/>
    <w:pPr>
      <w:numPr>
        <w:numId w:val="18"/>
      </w:numPr>
      <w:tabs>
        <w:tab w:val="num" w:pos="360"/>
      </w:tabs>
      <w:ind w:left="714" w:hanging="357"/>
    </w:pPr>
  </w:style>
  <w:style w:type="character" w:customStyle="1" w:styleId="Heading1Char">
    <w:name w:val="Heading 1 Char"/>
    <w:basedOn w:val="DefaultParagraphFont"/>
    <w:link w:val="Heading1"/>
    <w:uiPriority w:val="9"/>
    <w:rsid w:val="00FC643D"/>
    <w:rPr>
      <w:rFonts w:asciiTheme="majorHAnsi" w:eastAsiaTheme="majorEastAsia" w:hAnsiTheme="majorHAnsi" w:cstheme="majorBidi"/>
      <w:b/>
      <w:color w:val="4C6E78" w:themeColor="accent1"/>
      <w:sz w:val="40"/>
      <w:szCs w:val="32"/>
    </w:rPr>
  </w:style>
  <w:style w:type="character" w:customStyle="1" w:styleId="Heading2Char">
    <w:name w:val="Heading 2 Char"/>
    <w:basedOn w:val="DefaultParagraphFont"/>
    <w:link w:val="Heading2"/>
    <w:uiPriority w:val="9"/>
    <w:rsid w:val="0095531F"/>
    <w:rPr>
      <w:rFonts w:asciiTheme="majorHAnsi" w:eastAsiaTheme="majorEastAsia" w:hAnsiTheme="majorHAnsi" w:cstheme="majorBidi"/>
      <w:b/>
      <w:color w:val="4C6E78" w:themeColor="accent1"/>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rsid w:val="00B77718"/>
    <w:rPr>
      <w:i/>
    </w:rPr>
  </w:style>
  <w:style w:type="paragraph" w:styleId="Header">
    <w:name w:val="header"/>
    <w:basedOn w:val="Normal"/>
    <w:link w:val="HeaderChar"/>
    <w:uiPriority w:val="99"/>
    <w:rsid w:val="00F626FD"/>
    <w:pPr>
      <w:spacing w:before="0" w:after="0" w:line="240" w:lineRule="auto"/>
      <w:jc w:val="right"/>
    </w:pPr>
    <w:rPr>
      <w:sz w:val="20"/>
    </w:rPr>
  </w:style>
  <w:style w:type="character" w:customStyle="1" w:styleId="HeaderChar">
    <w:name w:val="Header Char"/>
    <w:basedOn w:val="DefaultParagraphFont"/>
    <w:link w:val="Header"/>
    <w:uiPriority w:val="99"/>
    <w:rsid w:val="00B77718"/>
  </w:style>
  <w:style w:type="paragraph" w:styleId="Footer">
    <w:name w:val="footer"/>
    <w:basedOn w:val="Normal"/>
    <w:link w:val="FooterChar"/>
    <w:uiPriority w:val="98"/>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D56CBD"/>
    <w:pPr>
      <w:numPr>
        <w:numId w:val="12"/>
      </w:numPr>
      <w:ind w:left="714" w:hanging="357"/>
    </w:pPr>
  </w:style>
  <w:style w:type="paragraph" w:styleId="ListNumber">
    <w:name w:val="List Number"/>
    <w:basedOn w:val="Normal"/>
    <w:uiPriority w:val="1"/>
    <w:qFormat/>
    <w:rsid w:val="00D56CBD"/>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637B9E"/>
    <w:rPr>
      <w:color w:val="4C6E78" w:themeColor="hyperlink"/>
      <w:u w:val="single"/>
    </w:rPr>
  </w:style>
  <w:style w:type="paragraph" w:styleId="ListParagraph">
    <w:name w:val="List Paragraph"/>
    <w:basedOn w:val="Normal"/>
    <w:uiPriority w:val="2"/>
    <w:rsid w:val="00A50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04400">
      <w:bodyDiv w:val="1"/>
      <w:marLeft w:val="0"/>
      <w:marRight w:val="0"/>
      <w:marTop w:val="0"/>
      <w:marBottom w:val="0"/>
      <w:divBdr>
        <w:top w:val="none" w:sz="0" w:space="0" w:color="auto"/>
        <w:left w:val="none" w:sz="0" w:space="0" w:color="auto"/>
        <w:bottom w:val="none" w:sz="0" w:space="0" w:color="auto"/>
        <w:right w:val="none" w:sz="0" w:space="0" w:color="auto"/>
      </w:divBdr>
    </w:div>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B3EB-7B5B-495E-A7A5-DBE28C95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Matthew Barrett-Cheetham</cp:lastModifiedBy>
  <cp:revision>7</cp:revision>
  <cp:lastPrinted>2017-07-13T02:31:00Z</cp:lastPrinted>
  <dcterms:created xsi:type="dcterms:W3CDTF">2017-07-11T05:34:00Z</dcterms:created>
  <dcterms:modified xsi:type="dcterms:W3CDTF">2017-07-19T23:50:00Z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30" name="DISdDocName">
    <vt:lpwstr>ANUP_016229</vt:lpwstr>
  </property>
  <property fmtid="{D5CDD505-2E9C-101B-9397-08002B2CF9AE}" pid="31" name="DISProperties">
    <vt:lpwstr>DISdDocName,DIScgiUrl,DISdUser,DISdID,DISidcName,DISTaskPaneUrl</vt:lpwstr>
  </property>
  <property fmtid="{D5CDD505-2E9C-101B-9397-08002B2CF9AE}" pid="32" name="DIScgiUrl">
    <vt:lpwstr>https://erms.anu.edu.au/cs/idcplg</vt:lpwstr>
  </property>
  <property fmtid="{D5CDD505-2E9C-101B-9397-08002B2CF9AE}" pid="33" name="DISdUser">
    <vt:lpwstr>u6808087</vt:lpwstr>
  </property>
  <property fmtid="{D5CDD505-2E9C-101B-9397-08002B2CF9AE}" pid="34" name="DISdID">
    <vt:lpwstr>4680934</vt:lpwstr>
  </property>
  <property fmtid="{D5CDD505-2E9C-101B-9397-08002B2CF9AE}" pid="35" name="DISidcName">
    <vt:lpwstr>ermscon1ermsanueduau16200</vt:lpwstr>
  </property>
  <property fmtid="{D5CDD505-2E9C-101B-9397-08002B2CF9AE}" pid="36" name="DISTaskPaneUrl">
    <vt:lpwstr>https://erms.anu.edu.au/cs/idcplg?IdcService=DESKTOP_DOC_INFO&amp;dDocName=ANUP_016229&amp;dID=4680934&amp;ClientControlled=DocMan,taskpane&amp;coreContentOnly=1</vt:lpwstr>
  </property>
</Properties>
</file>