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BD7" w:rsidRPr="00750AFF" w:rsidRDefault="00197BD7" w:rsidP="00197BD7">
      <w:pPr>
        <w:rPr>
          <w:rFonts w:ascii="Tahoma" w:hAnsi="Tahoma"/>
          <w:lang w:val="en-US"/>
        </w:rPr>
      </w:pPr>
    </w:p>
    <w:p w:rsidR="00197BD7" w:rsidRPr="00750AFF" w:rsidRDefault="00197BD7" w:rsidP="00197BD7">
      <w:pPr>
        <w:rPr>
          <w:rFonts w:ascii="Tahoma" w:hAnsi="Tahoma"/>
          <w:lang w:val="en-US"/>
        </w:rPr>
      </w:pPr>
    </w:p>
    <w:p w:rsidR="00FD7891" w:rsidRPr="002311A4" w:rsidRDefault="00FD7891" w:rsidP="00FD7891">
      <w:pPr>
        <w:pStyle w:val="PlainText"/>
        <w:spacing w:before="120"/>
        <w:rPr>
          <w:rFonts w:ascii="Calibri" w:hAnsi="Calibri" w:cs="Calibri"/>
          <w:sz w:val="24"/>
          <w:szCs w:val="24"/>
        </w:rPr>
      </w:pPr>
      <w:r w:rsidRPr="002311A4">
        <w:rPr>
          <w:rFonts w:ascii="Calibri" w:hAnsi="Calibri" w:cs="Calibri"/>
          <w:sz w:val="24"/>
          <w:szCs w:val="24"/>
        </w:rPr>
        <w:t>A beta</w:t>
      </w:r>
      <w:r w:rsidRPr="002311A4">
        <w:rPr>
          <w:rFonts w:ascii="Calibri" w:hAnsi="Calibri" w:cs="Calibri"/>
          <w:sz w:val="24"/>
          <w:szCs w:val="24"/>
          <w:lang w:val="en-US"/>
        </w:rPr>
        <w:t xml:space="preserve"> </w:t>
      </w:r>
      <w:r w:rsidRPr="002311A4">
        <w:rPr>
          <w:rFonts w:ascii="Calibri" w:hAnsi="Calibri" w:cs="Calibri"/>
          <w:sz w:val="24"/>
          <w:szCs w:val="24"/>
        </w:rPr>
        <w:t xml:space="preserve">source emits beta particles </w:t>
      </w:r>
      <w:r w:rsidRPr="002311A4">
        <w:rPr>
          <w:rFonts w:ascii="Calibri" w:hAnsi="Calibri" w:cs="Calibri"/>
          <w:sz w:val="24"/>
          <w:szCs w:val="24"/>
          <w:lang w:val="en-US"/>
        </w:rPr>
        <w:t>(</w:t>
      </w:r>
      <w:r w:rsidRPr="002311A4">
        <w:rPr>
          <w:rFonts w:ascii="Calibri" w:hAnsi="Calibri" w:cs="Calibri"/>
          <w:i/>
          <w:iCs/>
          <w:sz w:val="24"/>
          <w:szCs w:val="24"/>
          <w:lang w:val="en-US"/>
        </w:rPr>
        <w:t></w:t>
      </w:r>
      <w:r w:rsidRPr="002311A4">
        <w:rPr>
          <w:rFonts w:ascii="Calibri" w:hAnsi="Calibri" w:cs="Calibri"/>
          <w:sz w:val="24"/>
          <w:szCs w:val="24"/>
          <w:lang w:val="en-US"/>
        </w:rPr>
        <w:t xml:space="preserve">) </w:t>
      </w:r>
      <w:r w:rsidRPr="002311A4">
        <w:rPr>
          <w:rFonts w:ascii="Calibri" w:hAnsi="Calibri" w:cs="Calibri"/>
          <w:sz w:val="24"/>
          <w:szCs w:val="24"/>
        </w:rPr>
        <w:t xml:space="preserve">with energies from zero to the characteristic maximum energy for that isotope.  The penetrating power of </w:t>
      </w:r>
      <w:r w:rsidRPr="002311A4">
        <w:rPr>
          <w:rFonts w:ascii="Calibri" w:hAnsi="Calibri" w:cs="Calibri"/>
          <w:sz w:val="24"/>
          <w:szCs w:val="24"/>
        </w:rPr>
        <w:sym w:font="Symbol" w:char="0062"/>
      </w:r>
      <w:r w:rsidRPr="002311A4">
        <w:rPr>
          <w:rFonts w:ascii="Calibri" w:hAnsi="Calibri" w:cs="Calibri"/>
          <w:sz w:val="24"/>
          <w:szCs w:val="24"/>
        </w:rPr>
        <w:t xml:space="preserve"> particles depends on:</w:t>
      </w:r>
    </w:p>
    <w:p w:rsidR="00FD7891" w:rsidRPr="002311A4" w:rsidRDefault="00FD7891" w:rsidP="00750AFF">
      <w:pPr>
        <w:pStyle w:val="PlainText"/>
        <w:numPr>
          <w:ilvl w:val="0"/>
          <w:numId w:val="2"/>
        </w:numPr>
        <w:tabs>
          <w:tab w:val="clear" w:pos="360"/>
          <w:tab w:val="num" w:pos="717"/>
        </w:tabs>
        <w:ind w:left="714" w:hanging="357"/>
        <w:jc w:val="both"/>
        <w:rPr>
          <w:rFonts w:ascii="Calibri" w:hAnsi="Calibri" w:cs="Calibri"/>
          <w:sz w:val="24"/>
          <w:szCs w:val="24"/>
        </w:rPr>
      </w:pPr>
      <w:r w:rsidRPr="002311A4">
        <w:rPr>
          <w:rFonts w:ascii="Calibri" w:hAnsi="Calibri" w:cs="Calibri"/>
          <w:sz w:val="24"/>
          <w:szCs w:val="24"/>
        </w:rPr>
        <w:t xml:space="preserve">The energy of the </w:t>
      </w:r>
      <w:r w:rsidRPr="002311A4">
        <w:rPr>
          <w:rFonts w:ascii="Calibri" w:hAnsi="Calibri" w:cs="Calibri"/>
          <w:sz w:val="24"/>
          <w:szCs w:val="24"/>
        </w:rPr>
        <w:sym w:font="Symbol" w:char="0062"/>
      </w:r>
      <w:r w:rsidRPr="002311A4">
        <w:rPr>
          <w:rFonts w:ascii="Calibri" w:hAnsi="Calibri" w:cs="Calibri"/>
          <w:sz w:val="24"/>
          <w:szCs w:val="24"/>
        </w:rPr>
        <w:t>-particle,</w:t>
      </w:r>
    </w:p>
    <w:p w:rsidR="00FD7891" w:rsidRPr="002311A4" w:rsidRDefault="00FD7891" w:rsidP="00750AFF">
      <w:pPr>
        <w:pStyle w:val="PlainText"/>
        <w:numPr>
          <w:ilvl w:val="0"/>
          <w:numId w:val="2"/>
        </w:numPr>
        <w:tabs>
          <w:tab w:val="clear" w:pos="360"/>
          <w:tab w:val="num" w:pos="717"/>
        </w:tabs>
        <w:ind w:left="714" w:hanging="357"/>
        <w:jc w:val="both"/>
        <w:rPr>
          <w:rFonts w:ascii="Calibri" w:hAnsi="Calibri" w:cs="Calibri"/>
          <w:sz w:val="24"/>
          <w:szCs w:val="24"/>
        </w:rPr>
      </w:pPr>
      <w:r w:rsidRPr="002311A4">
        <w:rPr>
          <w:rFonts w:ascii="Calibri" w:hAnsi="Calibri" w:cs="Calibri"/>
          <w:sz w:val="24"/>
          <w:szCs w:val="24"/>
        </w:rPr>
        <w:t>The density of the absorbing material.</w:t>
      </w:r>
    </w:p>
    <w:p w:rsidR="00FD7891" w:rsidRPr="002311A4" w:rsidRDefault="00750AFF" w:rsidP="00FD7891">
      <w:pPr>
        <w:pStyle w:val="PlainText"/>
        <w:spacing w:before="120"/>
        <w:ind w:right="284"/>
        <w:jc w:val="both"/>
        <w:rPr>
          <w:rFonts w:ascii="Calibri" w:hAnsi="Calibri" w:cs="Calibri"/>
          <w:sz w:val="24"/>
          <w:szCs w:val="24"/>
        </w:rPr>
      </w:pPr>
      <w:r w:rsidRPr="002311A4">
        <w:rPr>
          <w:rFonts w:ascii="Calibri" w:hAnsi="Calibri" w:cs="Calibri"/>
          <w:sz w:val="24"/>
          <w:szCs w:val="24"/>
        </w:rPr>
        <w:t xml:space="preserve">At the </w:t>
      </w:r>
      <w:r w:rsidR="001C0E34" w:rsidRPr="002311A4">
        <w:rPr>
          <w:rFonts w:ascii="Calibri" w:hAnsi="Calibri" w:cs="Calibri"/>
          <w:sz w:val="24"/>
          <w:szCs w:val="24"/>
        </w:rPr>
        <w:t>University</w:t>
      </w:r>
      <w:r w:rsidRPr="002311A4">
        <w:rPr>
          <w:rFonts w:ascii="Calibri" w:hAnsi="Calibri" w:cs="Calibri"/>
          <w:sz w:val="24"/>
          <w:szCs w:val="24"/>
        </w:rPr>
        <w:t xml:space="preserve">, the common </w:t>
      </w:r>
      <w:r w:rsidR="00FD7891" w:rsidRPr="002311A4">
        <w:rPr>
          <w:rFonts w:ascii="Calibri" w:hAnsi="Calibri" w:cs="Calibri"/>
          <w:sz w:val="24"/>
          <w:szCs w:val="24"/>
        </w:rPr>
        <w:sym w:font="Symbol" w:char="0062"/>
      </w:r>
      <w:r w:rsidR="00FD7891" w:rsidRPr="002311A4">
        <w:rPr>
          <w:rFonts w:ascii="Calibri" w:hAnsi="Calibri" w:cs="Calibri"/>
          <w:sz w:val="24"/>
          <w:szCs w:val="24"/>
        </w:rPr>
        <w:t xml:space="preserve"> emitters and </w:t>
      </w:r>
      <w:r w:rsidRPr="002311A4">
        <w:rPr>
          <w:rFonts w:ascii="Calibri" w:hAnsi="Calibri" w:cs="Calibri"/>
          <w:sz w:val="24"/>
          <w:szCs w:val="24"/>
        </w:rPr>
        <w:t xml:space="preserve">their </w:t>
      </w:r>
      <w:r w:rsidR="00FD7891" w:rsidRPr="002311A4">
        <w:rPr>
          <w:rFonts w:ascii="Calibri" w:hAnsi="Calibri" w:cs="Calibri"/>
          <w:sz w:val="24"/>
          <w:szCs w:val="24"/>
        </w:rPr>
        <w:t>max</w:t>
      </w:r>
      <w:r w:rsidRPr="002311A4">
        <w:rPr>
          <w:rFonts w:ascii="Calibri" w:hAnsi="Calibri" w:cs="Calibri"/>
          <w:sz w:val="24"/>
          <w:szCs w:val="24"/>
        </w:rPr>
        <w:t>imum</w:t>
      </w:r>
      <w:r w:rsidR="00FD7891" w:rsidRPr="002311A4">
        <w:rPr>
          <w:rFonts w:ascii="Calibri" w:hAnsi="Calibri" w:cs="Calibri"/>
          <w:sz w:val="24"/>
          <w:szCs w:val="24"/>
        </w:rPr>
        <w:t xml:space="preserve"> energies are</w:t>
      </w:r>
    </w:p>
    <w:p w:rsidR="00FD7891" w:rsidRPr="002311A4" w:rsidRDefault="00FD7891" w:rsidP="00750AFF">
      <w:pPr>
        <w:pStyle w:val="PlainText"/>
        <w:tabs>
          <w:tab w:val="left" w:pos="1190"/>
          <w:tab w:val="left" w:pos="3261"/>
          <w:tab w:val="left" w:pos="6237"/>
        </w:tabs>
        <w:spacing w:before="120"/>
        <w:ind w:right="284"/>
        <w:jc w:val="both"/>
        <w:rPr>
          <w:rFonts w:ascii="Calibri" w:hAnsi="Calibri" w:cs="Calibri"/>
          <w:sz w:val="24"/>
          <w:szCs w:val="24"/>
        </w:rPr>
      </w:pPr>
      <w:r w:rsidRPr="002311A4">
        <w:rPr>
          <w:rFonts w:ascii="Calibri" w:hAnsi="Calibri" w:cs="Calibri"/>
          <w:sz w:val="24"/>
          <w:szCs w:val="24"/>
          <w:vertAlign w:val="superscript"/>
        </w:rPr>
        <w:t xml:space="preserve"> 3</w:t>
      </w:r>
      <w:r w:rsidRPr="002311A4">
        <w:rPr>
          <w:rFonts w:ascii="Calibri" w:hAnsi="Calibri" w:cs="Calibri"/>
          <w:sz w:val="24"/>
          <w:szCs w:val="24"/>
        </w:rPr>
        <w:t xml:space="preserve">H      0.018 MeV </w:t>
      </w:r>
      <w:r w:rsidRPr="002311A4">
        <w:rPr>
          <w:rFonts w:ascii="Calibri" w:hAnsi="Calibri" w:cs="Calibri"/>
          <w:sz w:val="24"/>
          <w:szCs w:val="24"/>
        </w:rPr>
        <w:tab/>
      </w:r>
      <w:r w:rsidRPr="002311A4">
        <w:rPr>
          <w:rFonts w:ascii="Calibri" w:hAnsi="Calibri" w:cs="Calibri"/>
          <w:sz w:val="24"/>
          <w:szCs w:val="24"/>
          <w:vertAlign w:val="superscript"/>
        </w:rPr>
        <w:t>32</w:t>
      </w:r>
      <w:r w:rsidRPr="002311A4">
        <w:rPr>
          <w:rFonts w:ascii="Calibri" w:hAnsi="Calibri" w:cs="Calibri"/>
          <w:sz w:val="24"/>
          <w:szCs w:val="24"/>
        </w:rPr>
        <w:t>P     1.7   MeV</w:t>
      </w:r>
      <w:r w:rsidRPr="002311A4">
        <w:rPr>
          <w:rFonts w:ascii="Calibri" w:hAnsi="Calibri" w:cs="Calibri"/>
          <w:sz w:val="24"/>
          <w:szCs w:val="24"/>
        </w:rPr>
        <w:tab/>
      </w:r>
      <w:r w:rsidRPr="002311A4">
        <w:rPr>
          <w:rFonts w:ascii="Calibri" w:hAnsi="Calibri" w:cs="Calibri"/>
          <w:sz w:val="24"/>
          <w:szCs w:val="24"/>
          <w:vertAlign w:val="superscript"/>
        </w:rPr>
        <w:t>35</w:t>
      </w:r>
      <w:r w:rsidRPr="002311A4">
        <w:rPr>
          <w:rFonts w:ascii="Calibri" w:hAnsi="Calibri" w:cs="Calibri"/>
          <w:sz w:val="24"/>
          <w:szCs w:val="24"/>
        </w:rPr>
        <w:t xml:space="preserve">S </w:t>
      </w:r>
      <w:r w:rsidR="00750AFF" w:rsidRPr="002311A4">
        <w:rPr>
          <w:rFonts w:ascii="Calibri" w:hAnsi="Calibri" w:cs="Calibri"/>
          <w:sz w:val="24"/>
          <w:szCs w:val="24"/>
        </w:rPr>
        <w:t xml:space="preserve"> </w:t>
      </w:r>
      <w:r w:rsidRPr="002311A4">
        <w:rPr>
          <w:rFonts w:ascii="Calibri" w:hAnsi="Calibri" w:cs="Calibri"/>
          <w:sz w:val="24"/>
          <w:szCs w:val="24"/>
        </w:rPr>
        <w:t xml:space="preserve">  </w:t>
      </w:r>
      <w:r w:rsidR="00A833CC" w:rsidRPr="002311A4">
        <w:rPr>
          <w:rFonts w:ascii="Calibri" w:hAnsi="Calibri" w:cs="Calibri"/>
          <w:sz w:val="24"/>
          <w:szCs w:val="24"/>
        </w:rPr>
        <w:t>0.17 MeV</w:t>
      </w:r>
    </w:p>
    <w:p w:rsidR="00FD7891" w:rsidRPr="002311A4" w:rsidRDefault="00FD7891" w:rsidP="00750AFF">
      <w:pPr>
        <w:pStyle w:val="PlainText"/>
        <w:tabs>
          <w:tab w:val="left" w:pos="1190"/>
          <w:tab w:val="left" w:pos="3261"/>
          <w:tab w:val="left" w:pos="6237"/>
        </w:tabs>
        <w:spacing w:before="60"/>
        <w:ind w:right="284"/>
        <w:jc w:val="both"/>
        <w:rPr>
          <w:rFonts w:ascii="Calibri" w:hAnsi="Calibri" w:cs="Calibri"/>
          <w:sz w:val="24"/>
          <w:szCs w:val="24"/>
        </w:rPr>
      </w:pPr>
      <w:r w:rsidRPr="002311A4">
        <w:rPr>
          <w:rFonts w:ascii="Calibri" w:hAnsi="Calibri" w:cs="Calibri"/>
          <w:sz w:val="24"/>
          <w:szCs w:val="24"/>
          <w:vertAlign w:val="superscript"/>
        </w:rPr>
        <w:t>14</w:t>
      </w:r>
      <w:r w:rsidRPr="002311A4">
        <w:rPr>
          <w:rFonts w:ascii="Calibri" w:hAnsi="Calibri" w:cs="Calibri"/>
          <w:sz w:val="24"/>
          <w:szCs w:val="24"/>
        </w:rPr>
        <w:t>C     0.16   MeV</w:t>
      </w:r>
      <w:r w:rsidRPr="002311A4">
        <w:rPr>
          <w:rFonts w:ascii="Calibri" w:hAnsi="Calibri" w:cs="Calibri"/>
          <w:sz w:val="24"/>
          <w:szCs w:val="24"/>
        </w:rPr>
        <w:tab/>
      </w:r>
      <w:r w:rsidRPr="002311A4">
        <w:rPr>
          <w:rFonts w:ascii="Calibri" w:hAnsi="Calibri" w:cs="Calibri"/>
          <w:sz w:val="24"/>
          <w:szCs w:val="24"/>
          <w:vertAlign w:val="superscript"/>
        </w:rPr>
        <w:t>33</w:t>
      </w:r>
      <w:r w:rsidRPr="002311A4">
        <w:rPr>
          <w:rFonts w:ascii="Calibri" w:hAnsi="Calibri" w:cs="Calibri"/>
          <w:sz w:val="24"/>
          <w:szCs w:val="24"/>
        </w:rPr>
        <w:t>P     0.25 MeV</w:t>
      </w:r>
      <w:r w:rsidRPr="002311A4">
        <w:rPr>
          <w:rFonts w:ascii="Calibri" w:hAnsi="Calibri" w:cs="Calibri"/>
          <w:sz w:val="24"/>
          <w:szCs w:val="24"/>
        </w:rPr>
        <w:tab/>
      </w:r>
      <w:r w:rsidR="00A833CC" w:rsidRPr="002311A4">
        <w:rPr>
          <w:rFonts w:ascii="Calibri" w:hAnsi="Calibri" w:cs="Calibri"/>
          <w:sz w:val="24"/>
          <w:szCs w:val="24"/>
          <w:vertAlign w:val="superscript"/>
        </w:rPr>
        <w:t>45</w:t>
      </w:r>
      <w:r w:rsidR="00A833CC" w:rsidRPr="002311A4">
        <w:rPr>
          <w:rFonts w:ascii="Calibri" w:hAnsi="Calibri" w:cs="Calibri"/>
          <w:sz w:val="24"/>
          <w:szCs w:val="24"/>
        </w:rPr>
        <w:t>Ca   0.26 MeV</w:t>
      </w:r>
    </w:p>
    <w:p w:rsidR="00B40CDD" w:rsidRPr="002311A4" w:rsidRDefault="00472BE2" w:rsidP="00750AFF">
      <w:pPr>
        <w:pStyle w:val="PlainText"/>
        <w:spacing w:before="120"/>
        <w:rPr>
          <w:rFonts w:ascii="Calibri" w:hAnsi="Calibri" w:cs="Calibri"/>
          <w:color w:val="000000"/>
          <w:sz w:val="24"/>
          <w:szCs w:val="24"/>
        </w:rPr>
      </w:pPr>
      <w:r w:rsidRPr="002311A4">
        <w:rPr>
          <w:rFonts w:ascii="Calibri" w:hAnsi="Calibri" w:cs="Calibri"/>
          <w:color w:val="000000"/>
          <w:sz w:val="24"/>
          <w:szCs w:val="24"/>
        </w:rPr>
        <w:t>B</w:t>
      </w:r>
      <w:r w:rsidR="00FD7891" w:rsidRPr="002311A4">
        <w:rPr>
          <w:rFonts w:ascii="Calibri" w:hAnsi="Calibri" w:cs="Calibri"/>
          <w:color w:val="000000"/>
          <w:sz w:val="24"/>
          <w:szCs w:val="24"/>
        </w:rPr>
        <w:t xml:space="preserve">eta particles in the energy range </w:t>
      </w:r>
      <w:r w:rsidR="00B40CDD" w:rsidRPr="002311A4">
        <w:rPr>
          <w:rFonts w:ascii="Calibri" w:hAnsi="Calibri" w:cs="Calibri"/>
          <w:color w:val="000000"/>
          <w:sz w:val="24"/>
          <w:szCs w:val="24"/>
        </w:rPr>
        <w:t>of 1-10 MeV can be easy shielded</w:t>
      </w:r>
      <w:r w:rsidRPr="002311A4">
        <w:rPr>
          <w:rFonts w:ascii="Calibri" w:hAnsi="Calibri" w:cs="Calibri"/>
          <w:color w:val="000000"/>
          <w:sz w:val="24"/>
          <w:szCs w:val="24"/>
        </w:rPr>
        <w:t xml:space="preserve"> but may give rise to X- rays called </w:t>
      </w:r>
      <w:r w:rsidRPr="002311A4">
        <w:rPr>
          <w:rFonts w:ascii="Calibri" w:hAnsi="Calibri" w:cs="Calibri"/>
          <w:b/>
          <w:color w:val="000000"/>
          <w:sz w:val="24"/>
          <w:szCs w:val="24"/>
        </w:rPr>
        <w:t>Bremsstrahlung</w:t>
      </w:r>
      <w:r w:rsidRPr="002311A4">
        <w:rPr>
          <w:rFonts w:ascii="Calibri" w:hAnsi="Calibri" w:cs="Calibri"/>
          <w:color w:val="000000"/>
          <w:sz w:val="24"/>
          <w:szCs w:val="24"/>
        </w:rPr>
        <w:t xml:space="preserve"> (</w:t>
      </w:r>
      <w:r w:rsidRPr="002311A4">
        <w:rPr>
          <w:rFonts w:ascii="Calibri" w:hAnsi="Calibri" w:cs="Calibri"/>
          <w:i/>
          <w:color w:val="000000"/>
          <w:sz w:val="24"/>
          <w:szCs w:val="24"/>
        </w:rPr>
        <w:t>Braking Radiation</w:t>
      </w:r>
      <w:r w:rsidRPr="002311A4">
        <w:rPr>
          <w:rFonts w:ascii="Calibri" w:hAnsi="Calibri" w:cs="Calibri"/>
          <w:color w:val="000000"/>
          <w:sz w:val="24"/>
          <w:szCs w:val="24"/>
        </w:rPr>
        <w:t>), when they are stopped by shielding.  To</w:t>
      </w:r>
      <w:r w:rsidR="00B40CDD" w:rsidRPr="002311A4">
        <w:rPr>
          <w:rFonts w:ascii="Calibri" w:hAnsi="Calibri" w:cs="Calibri"/>
          <w:color w:val="000000"/>
          <w:sz w:val="24"/>
          <w:szCs w:val="24"/>
        </w:rPr>
        <w:t xml:space="preserve"> estimat</w:t>
      </w:r>
      <w:r w:rsidRPr="002311A4">
        <w:rPr>
          <w:rFonts w:ascii="Calibri" w:hAnsi="Calibri" w:cs="Calibri"/>
          <w:color w:val="000000"/>
          <w:sz w:val="24"/>
          <w:szCs w:val="24"/>
        </w:rPr>
        <w:t>e</w:t>
      </w:r>
      <w:r w:rsidR="00B40CDD" w:rsidRPr="002311A4">
        <w:rPr>
          <w:rFonts w:ascii="Calibri" w:hAnsi="Calibri" w:cs="Calibri"/>
          <w:color w:val="000000"/>
          <w:sz w:val="24"/>
          <w:szCs w:val="24"/>
        </w:rPr>
        <w:t xml:space="preserve"> the bremsstrahlung hazard</w:t>
      </w:r>
      <w:r w:rsidRPr="002311A4">
        <w:rPr>
          <w:rFonts w:ascii="Calibri" w:hAnsi="Calibri" w:cs="Calibri"/>
          <w:color w:val="000000"/>
          <w:sz w:val="24"/>
          <w:szCs w:val="24"/>
        </w:rPr>
        <w:t>,</w:t>
      </w:r>
      <w:r w:rsidR="00B40CDD" w:rsidRPr="002311A4">
        <w:rPr>
          <w:rFonts w:ascii="Calibri" w:hAnsi="Calibri" w:cs="Calibri"/>
          <w:color w:val="000000"/>
          <w:sz w:val="24"/>
          <w:szCs w:val="24"/>
        </w:rPr>
        <w:t xml:space="preserve"> the following approximate relationship may be used:</w:t>
      </w:r>
    </w:p>
    <w:p w:rsidR="00B40CDD" w:rsidRPr="002311A4" w:rsidRDefault="00B40CDD" w:rsidP="00FD7891">
      <w:pPr>
        <w:pStyle w:val="PlainText"/>
        <w:spacing w:before="120"/>
        <w:jc w:val="both"/>
        <w:rPr>
          <w:rFonts w:ascii="Calibri" w:hAnsi="Calibri" w:cs="Calibri"/>
          <w:color w:val="000000"/>
          <w:sz w:val="24"/>
          <w:szCs w:val="24"/>
        </w:rPr>
      </w:pPr>
      <w:r w:rsidRPr="002311A4">
        <w:rPr>
          <w:rFonts w:ascii="Calibri" w:hAnsi="Calibri" w:cs="Calibri"/>
          <w:color w:val="000000"/>
          <w:sz w:val="24"/>
          <w:szCs w:val="24"/>
        </w:rPr>
        <w:tab/>
      </w:r>
      <w:r w:rsidRPr="002311A4">
        <w:rPr>
          <w:rFonts w:ascii="Calibri" w:hAnsi="Calibri" w:cs="Calibri"/>
          <w:color w:val="000000"/>
          <w:sz w:val="24"/>
          <w:szCs w:val="24"/>
        </w:rPr>
        <w:tab/>
      </w:r>
      <w:r w:rsidRPr="002311A4">
        <w:rPr>
          <w:rFonts w:ascii="Calibri" w:hAnsi="Calibri" w:cs="Calibri"/>
          <w:color w:val="000000"/>
          <w:sz w:val="24"/>
          <w:szCs w:val="24"/>
        </w:rPr>
        <w:tab/>
        <w:t>F= 3.5 x 10</w:t>
      </w:r>
      <w:r w:rsidRPr="002311A4">
        <w:rPr>
          <w:rFonts w:ascii="Calibri" w:hAnsi="Calibri" w:cs="Calibri"/>
          <w:color w:val="000000"/>
          <w:sz w:val="24"/>
          <w:szCs w:val="24"/>
          <w:vertAlign w:val="superscript"/>
        </w:rPr>
        <w:t xml:space="preserve">-4 </w:t>
      </w:r>
      <w:r w:rsidRPr="002311A4">
        <w:rPr>
          <w:rFonts w:ascii="Calibri" w:hAnsi="Calibri" w:cs="Calibri"/>
          <w:color w:val="000000"/>
          <w:sz w:val="24"/>
          <w:szCs w:val="24"/>
        </w:rPr>
        <w:t>ZE</w:t>
      </w:r>
    </w:p>
    <w:p w:rsidR="00B40CDD" w:rsidRPr="002311A4" w:rsidRDefault="00B40CDD" w:rsidP="00472BE2">
      <w:pPr>
        <w:pStyle w:val="PlainText"/>
        <w:spacing w:before="120"/>
        <w:ind w:left="720"/>
        <w:jc w:val="both"/>
        <w:rPr>
          <w:rFonts w:ascii="Calibri" w:hAnsi="Calibri" w:cs="Calibri"/>
          <w:color w:val="000000"/>
          <w:sz w:val="24"/>
          <w:szCs w:val="24"/>
        </w:rPr>
      </w:pPr>
      <w:r w:rsidRPr="002311A4">
        <w:rPr>
          <w:rFonts w:ascii="Calibri" w:hAnsi="Calibri" w:cs="Calibri"/>
          <w:color w:val="000000"/>
          <w:sz w:val="24"/>
          <w:szCs w:val="24"/>
        </w:rPr>
        <w:t xml:space="preserve">Where, </w:t>
      </w:r>
    </w:p>
    <w:p w:rsidR="00B40CDD" w:rsidRPr="002311A4" w:rsidRDefault="00B40CDD" w:rsidP="00472BE2">
      <w:pPr>
        <w:pStyle w:val="PlainText"/>
        <w:spacing w:before="120"/>
        <w:ind w:left="720"/>
        <w:jc w:val="both"/>
        <w:rPr>
          <w:rFonts w:ascii="Calibri" w:hAnsi="Calibri" w:cs="Calibri"/>
          <w:color w:val="000000"/>
          <w:sz w:val="24"/>
          <w:szCs w:val="24"/>
        </w:rPr>
      </w:pPr>
      <w:r w:rsidRPr="002311A4">
        <w:rPr>
          <w:rFonts w:ascii="Calibri" w:hAnsi="Calibri" w:cs="Calibri"/>
          <w:color w:val="000000"/>
          <w:sz w:val="24"/>
          <w:szCs w:val="24"/>
        </w:rPr>
        <w:t>F= the fraction of the incident beta energy converted into photons;</w:t>
      </w:r>
    </w:p>
    <w:p w:rsidR="00B40CDD" w:rsidRPr="002311A4" w:rsidRDefault="00B40CDD" w:rsidP="00472BE2">
      <w:pPr>
        <w:pStyle w:val="PlainText"/>
        <w:spacing w:before="120"/>
        <w:ind w:left="720"/>
        <w:jc w:val="both"/>
        <w:rPr>
          <w:rFonts w:ascii="Calibri" w:hAnsi="Calibri" w:cs="Calibri"/>
          <w:color w:val="000000"/>
          <w:sz w:val="24"/>
          <w:szCs w:val="24"/>
        </w:rPr>
      </w:pPr>
      <w:r w:rsidRPr="002311A4">
        <w:rPr>
          <w:rFonts w:ascii="Calibri" w:hAnsi="Calibri" w:cs="Calibri"/>
          <w:color w:val="000000"/>
          <w:sz w:val="24"/>
          <w:szCs w:val="24"/>
        </w:rPr>
        <w:t>Z= atomic number of the absorber; and</w:t>
      </w:r>
    </w:p>
    <w:p w:rsidR="00FD7891" w:rsidRPr="002311A4" w:rsidRDefault="00B40CDD" w:rsidP="00472BE2">
      <w:pPr>
        <w:pStyle w:val="PlainText"/>
        <w:spacing w:before="120"/>
        <w:ind w:left="720"/>
        <w:jc w:val="both"/>
        <w:rPr>
          <w:rFonts w:ascii="Calibri" w:hAnsi="Calibri" w:cs="Calibri"/>
          <w:color w:val="000000"/>
          <w:sz w:val="24"/>
          <w:szCs w:val="24"/>
        </w:rPr>
      </w:pPr>
      <w:r w:rsidRPr="002311A4">
        <w:rPr>
          <w:rFonts w:ascii="Calibri" w:hAnsi="Calibri" w:cs="Calibri"/>
          <w:color w:val="000000"/>
          <w:sz w:val="24"/>
          <w:szCs w:val="24"/>
        </w:rPr>
        <w:t xml:space="preserve">E= maximum energy of the beta particle, MeV. </w:t>
      </w:r>
    </w:p>
    <w:p w:rsidR="00FD7891" w:rsidRPr="002311A4" w:rsidRDefault="00472BE2" w:rsidP="00FD7891">
      <w:pPr>
        <w:pStyle w:val="PlainText"/>
        <w:spacing w:before="120"/>
        <w:jc w:val="both"/>
        <w:rPr>
          <w:rFonts w:ascii="Calibri" w:hAnsi="Calibri" w:cs="Calibri"/>
          <w:sz w:val="24"/>
          <w:szCs w:val="24"/>
        </w:rPr>
      </w:pPr>
      <w:r w:rsidRPr="002311A4">
        <w:rPr>
          <w:rFonts w:ascii="Calibri" w:hAnsi="Calibri" w:cs="Calibri"/>
          <w:sz w:val="24"/>
          <w:szCs w:val="24"/>
        </w:rPr>
        <w:t>S</w:t>
      </w:r>
      <w:r w:rsidR="00FD7891" w:rsidRPr="002311A4">
        <w:rPr>
          <w:rFonts w:ascii="Calibri" w:hAnsi="Calibri" w:cs="Calibri"/>
          <w:sz w:val="24"/>
          <w:szCs w:val="24"/>
        </w:rPr>
        <w:t>hield</w:t>
      </w:r>
      <w:r w:rsidRPr="002311A4">
        <w:rPr>
          <w:rFonts w:ascii="Calibri" w:hAnsi="Calibri" w:cs="Calibri"/>
          <w:sz w:val="24"/>
          <w:szCs w:val="24"/>
        </w:rPr>
        <w:t>ing</w:t>
      </w:r>
      <w:r w:rsidR="00FD7891" w:rsidRPr="002311A4">
        <w:rPr>
          <w:rFonts w:ascii="Calibri" w:hAnsi="Calibri" w:cs="Calibri"/>
          <w:sz w:val="24"/>
          <w:szCs w:val="24"/>
        </w:rPr>
        <w:t xml:space="preserve"> constructed of materials of low mass number (e.g. aluminium or plastic) </w:t>
      </w:r>
      <w:r w:rsidRPr="002311A4">
        <w:rPr>
          <w:rFonts w:ascii="Calibri" w:hAnsi="Calibri" w:cs="Calibri"/>
          <w:sz w:val="24"/>
          <w:szCs w:val="24"/>
        </w:rPr>
        <w:t>produce less</w:t>
      </w:r>
      <w:r w:rsidR="00FD7891" w:rsidRPr="002311A4">
        <w:rPr>
          <w:rFonts w:ascii="Calibri" w:hAnsi="Calibri" w:cs="Calibri"/>
          <w:sz w:val="24"/>
          <w:szCs w:val="24"/>
        </w:rPr>
        <w:t xml:space="preserve"> bremsstrahlung.  A shield of 10 mm-thick Perspex or 3 mm-thick aluminium provides excellent absorption</w:t>
      </w:r>
      <w:r w:rsidRPr="002311A4">
        <w:rPr>
          <w:rFonts w:ascii="Calibri" w:hAnsi="Calibri" w:cs="Calibri"/>
          <w:sz w:val="24"/>
          <w:szCs w:val="24"/>
        </w:rPr>
        <w:t xml:space="preserve"> for our common beta emitters</w:t>
      </w:r>
      <w:r w:rsidR="00FD7891" w:rsidRPr="002311A4">
        <w:rPr>
          <w:rFonts w:ascii="Calibri" w:hAnsi="Calibri" w:cs="Calibri"/>
          <w:sz w:val="24"/>
          <w:szCs w:val="24"/>
        </w:rPr>
        <w:t>.  If a lead contain</w:t>
      </w:r>
      <w:r w:rsidR="002311A4" w:rsidRPr="002311A4">
        <w:rPr>
          <w:rFonts w:ascii="Calibri" w:hAnsi="Calibri" w:cs="Calibri"/>
          <w:sz w:val="24"/>
          <w:szCs w:val="24"/>
        </w:rPr>
        <w:t xml:space="preserve">er were to be used to store </w:t>
      </w:r>
      <w:r w:rsidR="002311A4" w:rsidRPr="002311A4">
        <w:rPr>
          <w:rFonts w:ascii="Calibri" w:hAnsi="Calibri" w:cs="Calibri"/>
          <w:sz w:val="24"/>
          <w:szCs w:val="24"/>
          <w:vertAlign w:val="superscript"/>
        </w:rPr>
        <w:t>32</w:t>
      </w:r>
      <w:r w:rsidR="002311A4" w:rsidRPr="002311A4">
        <w:rPr>
          <w:rFonts w:ascii="Calibri" w:hAnsi="Calibri" w:cs="Calibri"/>
          <w:sz w:val="24"/>
          <w:szCs w:val="24"/>
        </w:rPr>
        <w:t>P</w:t>
      </w:r>
      <w:r w:rsidR="00FD7891" w:rsidRPr="002311A4">
        <w:rPr>
          <w:rFonts w:ascii="Calibri" w:hAnsi="Calibri" w:cs="Calibri"/>
          <w:sz w:val="24"/>
          <w:szCs w:val="24"/>
        </w:rPr>
        <w:t xml:space="preserve"> (1.7 MeV) approximately 4.6% of the energy would reappear as bremsstrahlung compared to less than 1% of aluminium or less than 0.5% for Perspex.  </w:t>
      </w:r>
      <w:r w:rsidRPr="002311A4">
        <w:rPr>
          <w:rFonts w:ascii="Calibri" w:hAnsi="Calibri" w:cs="Calibri"/>
          <w:sz w:val="24"/>
          <w:szCs w:val="24"/>
        </w:rPr>
        <w:t>Although it should be noted</w:t>
      </w:r>
      <w:r w:rsidR="00FD7891" w:rsidRPr="002311A4">
        <w:rPr>
          <w:rFonts w:ascii="Calibri" w:hAnsi="Calibri" w:cs="Calibri"/>
          <w:sz w:val="24"/>
          <w:szCs w:val="24"/>
        </w:rPr>
        <w:t xml:space="preserve"> that </w:t>
      </w:r>
      <w:r w:rsidRPr="002311A4">
        <w:rPr>
          <w:rFonts w:ascii="Calibri" w:hAnsi="Calibri" w:cs="Calibri"/>
          <w:sz w:val="24"/>
          <w:szCs w:val="24"/>
        </w:rPr>
        <w:t xml:space="preserve">a </w:t>
      </w:r>
      <w:r w:rsidR="00FD7891" w:rsidRPr="002311A4">
        <w:rPr>
          <w:rFonts w:ascii="Calibri" w:hAnsi="Calibri" w:cs="Calibri"/>
          <w:sz w:val="24"/>
          <w:szCs w:val="24"/>
        </w:rPr>
        <w:t>large thicknesses of lead will absorb the bremsstrahlung produced – but this adds costs and weight to the storage container.</w:t>
      </w:r>
    </w:p>
    <w:p w:rsidR="00FD7891" w:rsidRPr="002311A4" w:rsidRDefault="00FD7891" w:rsidP="00FD7891">
      <w:pPr>
        <w:pStyle w:val="PlainText"/>
        <w:spacing w:before="120"/>
        <w:jc w:val="both"/>
        <w:rPr>
          <w:rFonts w:ascii="Calibri" w:hAnsi="Calibri" w:cs="Calibri"/>
          <w:sz w:val="24"/>
          <w:szCs w:val="24"/>
        </w:rPr>
      </w:pPr>
      <w:r w:rsidRPr="002311A4">
        <w:rPr>
          <w:rFonts w:ascii="Calibri" w:hAnsi="Calibri" w:cs="Calibri"/>
          <w:sz w:val="24"/>
          <w:szCs w:val="24"/>
        </w:rPr>
        <w:t xml:space="preserve">The ease with which beta sources may be shielded sometimes leads to the erroneous impression that they are not as dangerous as gamma sources and that large open beta sources can be handled directly.  This </w:t>
      </w:r>
      <w:r w:rsidR="00472BE2" w:rsidRPr="002311A4">
        <w:rPr>
          <w:rFonts w:ascii="Calibri" w:hAnsi="Calibri" w:cs="Calibri"/>
          <w:sz w:val="24"/>
          <w:szCs w:val="24"/>
        </w:rPr>
        <w:t xml:space="preserve">would be </w:t>
      </w:r>
      <w:r w:rsidRPr="002311A4">
        <w:rPr>
          <w:rFonts w:ascii="Calibri" w:hAnsi="Calibri" w:cs="Calibri"/>
          <w:sz w:val="24"/>
          <w:szCs w:val="24"/>
        </w:rPr>
        <w:t>an extremely dangerous practice.  For instance, the dose rate to the skin at a distance of 3 mm from a typical beta source of 1 MBq is about 1 Sv/h.</w:t>
      </w:r>
    </w:p>
    <w:p w:rsidR="00FD7891" w:rsidRPr="00750AFF" w:rsidRDefault="00FD7891" w:rsidP="00FD7891">
      <w:pPr>
        <w:pStyle w:val="PlainText"/>
        <w:spacing w:before="120"/>
        <w:jc w:val="both"/>
        <w:rPr>
          <w:rFonts w:ascii="Tahoma" w:hAnsi="Tahoma"/>
          <w:b/>
          <w:bCs/>
          <w:sz w:val="22"/>
          <w:szCs w:val="22"/>
        </w:rPr>
      </w:pPr>
      <w:r w:rsidRPr="002311A4">
        <w:rPr>
          <w:rFonts w:ascii="Calibri" w:hAnsi="Calibri" w:cs="Calibri"/>
          <w:b/>
          <w:bCs/>
          <w:sz w:val="24"/>
          <w:szCs w:val="24"/>
        </w:rPr>
        <w:t xml:space="preserve">Conclusion: </w:t>
      </w:r>
      <w:r w:rsidR="00472BE2" w:rsidRPr="002311A4">
        <w:rPr>
          <w:rFonts w:ascii="Calibri" w:hAnsi="Calibri" w:cs="Calibri"/>
          <w:b/>
          <w:bCs/>
          <w:sz w:val="24"/>
          <w:szCs w:val="24"/>
        </w:rPr>
        <w:t xml:space="preserve"> </w:t>
      </w:r>
      <w:r w:rsidRPr="002311A4">
        <w:rPr>
          <w:rFonts w:ascii="Calibri" w:hAnsi="Calibri" w:cs="Calibri"/>
          <w:b/>
          <w:bCs/>
          <w:sz w:val="24"/>
          <w:szCs w:val="24"/>
        </w:rPr>
        <w:t xml:space="preserve">The primary storage container for beta emitting materials and waste should be of </w:t>
      </w:r>
      <w:r w:rsidR="00472BE2" w:rsidRPr="002311A4">
        <w:rPr>
          <w:rFonts w:ascii="Calibri" w:hAnsi="Calibri" w:cs="Calibri"/>
          <w:b/>
          <w:bCs/>
          <w:sz w:val="24"/>
          <w:szCs w:val="24"/>
        </w:rPr>
        <w:t>p</w:t>
      </w:r>
      <w:r w:rsidR="00750AFF" w:rsidRPr="002311A4">
        <w:rPr>
          <w:rFonts w:ascii="Calibri" w:hAnsi="Calibri" w:cs="Calibri"/>
          <w:b/>
          <w:bCs/>
          <w:sz w:val="24"/>
          <w:szCs w:val="24"/>
        </w:rPr>
        <w:t>lastic</w:t>
      </w:r>
      <w:r w:rsidRPr="002311A4">
        <w:rPr>
          <w:rFonts w:ascii="Calibri" w:hAnsi="Calibri" w:cs="Calibri"/>
          <w:b/>
          <w:bCs/>
          <w:sz w:val="24"/>
          <w:szCs w:val="24"/>
        </w:rPr>
        <w:t xml:space="preserve"> (</w:t>
      </w:r>
      <w:r w:rsidR="00472BE2" w:rsidRPr="002311A4">
        <w:rPr>
          <w:rFonts w:ascii="Calibri" w:hAnsi="Calibri" w:cs="Calibri"/>
          <w:b/>
          <w:bCs/>
          <w:sz w:val="24"/>
          <w:szCs w:val="24"/>
        </w:rPr>
        <w:t>Perspex</w:t>
      </w:r>
      <w:r w:rsidRPr="002311A4">
        <w:rPr>
          <w:rFonts w:ascii="Calibri" w:hAnsi="Calibri" w:cs="Calibri"/>
          <w:b/>
          <w:bCs/>
          <w:sz w:val="24"/>
          <w:szCs w:val="24"/>
        </w:rPr>
        <w:t xml:space="preserve">) or aluminium to </w:t>
      </w:r>
      <w:r w:rsidR="00472BE2" w:rsidRPr="002311A4">
        <w:rPr>
          <w:rFonts w:ascii="Calibri" w:hAnsi="Calibri" w:cs="Calibri"/>
          <w:b/>
          <w:bCs/>
          <w:sz w:val="24"/>
          <w:szCs w:val="24"/>
        </w:rPr>
        <w:t xml:space="preserve">effectively </w:t>
      </w:r>
      <w:r w:rsidRPr="002311A4">
        <w:rPr>
          <w:rFonts w:ascii="Calibri" w:hAnsi="Calibri" w:cs="Calibri"/>
          <w:b/>
          <w:bCs/>
          <w:sz w:val="24"/>
          <w:szCs w:val="24"/>
        </w:rPr>
        <w:t xml:space="preserve">reduce emissions of primary and secondary radiation.  Perspex is generally </w:t>
      </w:r>
      <w:r w:rsidR="00472BE2" w:rsidRPr="002311A4">
        <w:rPr>
          <w:rFonts w:ascii="Calibri" w:hAnsi="Calibri" w:cs="Calibri"/>
          <w:b/>
          <w:bCs/>
          <w:sz w:val="24"/>
          <w:szCs w:val="24"/>
        </w:rPr>
        <w:t xml:space="preserve">the material of choice as it is </w:t>
      </w:r>
      <w:r w:rsidRPr="002311A4">
        <w:rPr>
          <w:rFonts w:ascii="Calibri" w:hAnsi="Calibri" w:cs="Calibri"/>
          <w:b/>
          <w:bCs/>
          <w:sz w:val="24"/>
          <w:szCs w:val="24"/>
        </w:rPr>
        <w:t xml:space="preserve">easier to clean and </w:t>
      </w:r>
      <w:r w:rsidR="00472BE2" w:rsidRPr="002311A4">
        <w:rPr>
          <w:rFonts w:ascii="Calibri" w:hAnsi="Calibri" w:cs="Calibri"/>
          <w:b/>
          <w:bCs/>
          <w:sz w:val="24"/>
          <w:szCs w:val="24"/>
        </w:rPr>
        <w:t>transparen</w:t>
      </w:r>
      <w:r w:rsidR="002311A4" w:rsidRPr="002311A4">
        <w:rPr>
          <w:rFonts w:ascii="Calibri" w:hAnsi="Calibri" w:cs="Calibri"/>
          <w:b/>
          <w:bCs/>
          <w:sz w:val="24"/>
          <w:szCs w:val="24"/>
        </w:rPr>
        <w:t>t.</w:t>
      </w:r>
    </w:p>
    <w:sectPr w:rsidR="00FD7891" w:rsidRPr="00750AFF" w:rsidSect="00201653">
      <w:headerReference w:type="even" r:id="rId7"/>
      <w:headerReference w:type="default" r:id="rId8"/>
      <w:footerReference w:type="default" r:id="rId9"/>
      <w:pgSz w:w="11906" w:h="16838"/>
      <w:pgMar w:top="1134"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7598" w:rsidRDefault="00567598" w:rsidP="00FB5DE2">
      <w:r>
        <w:separator/>
      </w:r>
    </w:p>
  </w:endnote>
  <w:endnote w:type="continuationSeparator" w:id="0">
    <w:p w:rsidR="00567598" w:rsidRDefault="00567598" w:rsidP="00FB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E08" w:rsidRPr="006B35C6" w:rsidRDefault="00F82E08">
    <w:pPr>
      <w:pStyle w:val="Footer"/>
      <w:rPr>
        <w:rFonts w:ascii="Arial" w:hAnsi="Arial" w:cs="Arial"/>
        <w:sz w:val="8"/>
        <w:szCs w:val="8"/>
      </w:rPr>
    </w:pPr>
  </w:p>
  <w:p w:rsidR="002311A4" w:rsidRPr="006115F4" w:rsidRDefault="002311A4" w:rsidP="002311A4">
    <w:pPr>
      <w:pStyle w:val="Footer"/>
      <w:tabs>
        <w:tab w:val="clear" w:pos="4320"/>
        <w:tab w:val="clear" w:pos="8640"/>
        <w:tab w:val="center" w:pos="7132"/>
        <w:tab w:val="right" w:pos="14264"/>
      </w:tabs>
      <w:rPr>
        <w:rFonts w:ascii="Calibri" w:hAnsi="Calibri"/>
        <w:sz w:val="22"/>
        <w:szCs w:val="22"/>
        <w:lang w:val="en-US"/>
      </w:rPr>
    </w:pPr>
    <w:r w:rsidRPr="006115F4">
      <w:rPr>
        <w:rFonts w:ascii="Calibri" w:hAnsi="Calibri"/>
        <w:sz w:val="22"/>
        <w:szCs w:val="22"/>
        <w:lang w:val="en-US"/>
      </w:rPr>
      <w:t xml:space="preserve">Radiation Safety Procedure: </w:t>
    </w:r>
    <w:r>
      <w:rPr>
        <w:rFonts w:ascii="Calibri" w:hAnsi="Calibri"/>
        <w:sz w:val="22"/>
        <w:szCs w:val="22"/>
        <w:lang w:val="en-US"/>
      </w:rPr>
      <w:t xml:space="preserve">Shielding </w:t>
    </w:r>
    <w:r>
      <w:rPr>
        <w:rFonts w:ascii="Calibri" w:hAnsi="Calibri" w:cs="Calibri"/>
        <w:sz w:val="22"/>
        <w:szCs w:val="22"/>
        <w:lang w:val="en-US"/>
      </w:rPr>
      <w:t>β</w:t>
    </w:r>
    <w:r>
      <w:rPr>
        <w:rFonts w:ascii="Calibri" w:hAnsi="Calibri"/>
        <w:sz w:val="22"/>
        <w:szCs w:val="22"/>
        <w:lang w:val="en-US"/>
      </w:rPr>
      <w:t xml:space="preserve"> radiation to reduce Bremsstrahlung</w:t>
    </w:r>
  </w:p>
  <w:p w:rsidR="002311A4" w:rsidRPr="006115F4" w:rsidRDefault="002311A4" w:rsidP="002311A4">
    <w:pPr>
      <w:pStyle w:val="Footer"/>
      <w:tabs>
        <w:tab w:val="clear" w:pos="4320"/>
        <w:tab w:val="clear" w:pos="8640"/>
        <w:tab w:val="center" w:pos="7132"/>
        <w:tab w:val="right" w:pos="14264"/>
      </w:tabs>
      <w:rPr>
        <w:rFonts w:ascii="Calibri" w:hAnsi="Calibri"/>
        <w:sz w:val="22"/>
        <w:szCs w:val="22"/>
        <w:lang w:val="en-US"/>
      </w:rPr>
    </w:pPr>
    <w:r w:rsidRPr="006115F4">
      <w:rPr>
        <w:rFonts w:ascii="Calibri" w:hAnsi="Calibri"/>
        <w:sz w:val="22"/>
        <w:szCs w:val="22"/>
        <w:lang w:val="en-US"/>
      </w:rPr>
      <w:t xml:space="preserve">Approved by: Chief Operating Officer </w:t>
    </w:r>
    <w:r>
      <w:rPr>
        <w:rFonts w:ascii="Calibri" w:hAnsi="Calibri"/>
        <w:sz w:val="22"/>
        <w:szCs w:val="22"/>
        <w:lang w:val="en-US"/>
      </w:rPr>
      <w:tab/>
      <w:t xml:space="preserve">                      Version: 4 </w:t>
    </w:r>
    <w:r>
      <w:rPr>
        <w:rFonts w:ascii="Calibri" w:hAnsi="Calibri"/>
        <w:sz w:val="22"/>
        <w:szCs w:val="22"/>
        <w:lang w:val="en-US"/>
      </w:rPr>
      <w:tab/>
    </w:r>
    <w:r>
      <w:rPr>
        <w:rFonts w:ascii="Calibri" w:hAnsi="Calibri"/>
        <w:sz w:val="22"/>
        <w:szCs w:val="22"/>
        <w:lang w:val="en-US"/>
      </w:rPr>
      <w:tab/>
    </w:r>
    <w:r w:rsidRPr="006115F4">
      <w:rPr>
        <w:rFonts w:ascii="Calibri" w:hAnsi="Calibri"/>
        <w:sz w:val="22"/>
        <w:szCs w:val="22"/>
        <w:lang w:val="en-US"/>
      </w:rPr>
      <w:t>Version: 4</w:t>
    </w:r>
  </w:p>
  <w:p w:rsidR="002311A4" w:rsidRDefault="002311A4" w:rsidP="002311A4">
    <w:pPr>
      <w:pStyle w:val="Footer"/>
      <w:tabs>
        <w:tab w:val="clear" w:pos="4320"/>
        <w:tab w:val="clear" w:pos="8640"/>
        <w:tab w:val="center" w:pos="7132"/>
        <w:tab w:val="right" w:pos="14264"/>
      </w:tabs>
      <w:rPr>
        <w:rFonts w:ascii="Calibri" w:hAnsi="Calibri"/>
        <w:noProof/>
        <w:sz w:val="22"/>
        <w:szCs w:val="22"/>
        <w:lang w:val="en-US"/>
      </w:rPr>
    </w:pPr>
    <w:r>
      <w:rPr>
        <w:rFonts w:ascii="Calibri" w:hAnsi="Calibri"/>
        <w:sz w:val="22"/>
        <w:szCs w:val="22"/>
        <w:lang w:val="en-US"/>
      </w:rPr>
      <w:t xml:space="preserve">Release Date: 31 October 2021                 </w:t>
    </w:r>
    <w:r w:rsidRPr="006115F4">
      <w:rPr>
        <w:rFonts w:ascii="Calibri" w:hAnsi="Calibri"/>
        <w:sz w:val="22"/>
        <w:szCs w:val="22"/>
        <w:lang w:val="en-US"/>
      </w:rPr>
      <w:t>Review Date: 31 October 2024</w:t>
    </w:r>
    <w:r w:rsidRPr="006115F4">
      <w:rPr>
        <w:rFonts w:ascii="Calibri" w:hAnsi="Calibri"/>
        <w:sz w:val="22"/>
        <w:szCs w:val="22"/>
        <w:lang w:val="en-US"/>
      </w:rPr>
      <w:tab/>
    </w:r>
    <w:r>
      <w:rPr>
        <w:rFonts w:ascii="Calibri" w:hAnsi="Calibri"/>
        <w:sz w:val="22"/>
        <w:szCs w:val="22"/>
        <w:lang w:val="en-US"/>
      </w:rPr>
      <w:t xml:space="preserve">                          Page </w:t>
    </w:r>
    <w:r w:rsidRPr="004633A8">
      <w:rPr>
        <w:rFonts w:ascii="Calibri" w:hAnsi="Calibri"/>
        <w:smallCaps/>
        <w:sz w:val="22"/>
        <w:szCs w:val="22"/>
        <w:lang w:val="en-US"/>
      </w:rPr>
      <w:fldChar w:fldCharType="begin"/>
    </w:r>
    <w:r w:rsidRPr="004633A8">
      <w:rPr>
        <w:rFonts w:ascii="Calibri" w:hAnsi="Calibri"/>
        <w:smallCaps/>
        <w:sz w:val="22"/>
        <w:szCs w:val="22"/>
        <w:lang w:val="en-US"/>
      </w:rPr>
      <w:instrText xml:space="preserve"> PAGE  \* ROMAN  \* MERGEFORMAT </w:instrText>
    </w:r>
    <w:r w:rsidRPr="004633A8">
      <w:rPr>
        <w:rFonts w:ascii="Calibri" w:hAnsi="Calibri"/>
        <w:smallCaps/>
        <w:sz w:val="22"/>
        <w:szCs w:val="22"/>
        <w:lang w:val="en-US"/>
      </w:rPr>
      <w:fldChar w:fldCharType="separate"/>
    </w:r>
    <w:r>
      <w:rPr>
        <w:rFonts w:ascii="Calibri" w:hAnsi="Calibri"/>
        <w:smallCaps/>
        <w:noProof/>
        <w:sz w:val="22"/>
        <w:szCs w:val="22"/>
        <w:lang w:val="en-US"/>
      </w:rPr>
      <w:t>I</w:t>
    </w:r>
    <w:r w:rsidRPr="004633A8">
      <w:rPr>
        <w:rFonts w:ascii="Calibri" w:hAnsi="Calibri"/>
        <w:smallCaps/>
        <w:noProof/>
        <w:sz w:val="22"/>
        <w:szCs w:val="22"/>
        <w:lang w:val="en-US"/>
      </w:rPr>
      <w:fldChar w:fldCharType="end"/>
    </w:r>
    <w:r>
      <w:rPr>
        <w:rFonts w:ascii="Calibri" w:hAnsi="Calibri"/>
        <w:noProof/>
        <w:sz w:val="22"/>
        <w:szCs w:val="22"/>
        <w:lang w:val="en-US"/>
      </w:rPr>
      <w:tab/>
    </w:r>
  </w:p>
  <w:p w:rsidR="00F82E08" w:rsidRPr="00750AFF" w:rsidRDefault="002311A4" w:rsidP="002311A4">
    <w:pPr>
      <w:pStyle w:val="Footer"/>
      <w:rPr>
        <w:rFonts w:ascii="Tahoma" w:hAnsi="Tahoma"/>
        <w:lang w:val="en-US"/>
      </w:rPr>
    </w:pPr>
    <w:r>
      <w:rPr>
        <w:rFonts w:ascii="Calibri" w:hAnsi="Calibri"/>
        <w:noProof/>
        <w:sz w:val="22"/>
        <w:szCs w:val="22"/>
        <w:lang w:val="en-US"/>
      </w:rPr>
      <w:t>This process is uncontrolled after printing.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7598" w:rsidRDefault="00567598" w:rsidP="00FB5DE2">
      <w:r>
        <w:separator/>
      </w:r>
    </w:p>
  </w:footnote>
  <w:footnote w:type="continuationSeparator" w:id="0">
    <w:p w:rsidR="00567598" w:rsidRDefault="00567598" w:rsidP="00FB5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E08" w:rsidRPr="00750AFF" w:rsidRDefault="00F82E08">
    <w:pPr>
      <w:pStyle w:val="Header"/>
      <w:framePr w:wrap="around" w:vAnchor="text" w:hAnchor="margin" w:xAlign="right" w:y="1"/>
      <w:rPr>
        <w:rStyle w:val="PageNumber"/>
        <w:rFonts w:ascii="Tahoma" w:hAnsi="Tahoma"/>
      </w:rPr>
    </w:pPr>
    <w:r>
      <w:rPr>
        <w:rStyle w:val="PageNumber"/>
      </w:rPr>
      <w:fldChar w:fldCharType="begin"/>
    </w:r>
    <w:r>
      <w:rPr>
        <w:rStyle w:val="PageNumber"/>
      </w:rPr>
      <w:instrText xml:space="preserve">PAGE  </w:instrText>
    </w:r>
    <w:r>
      <w:rPr>
        <w:rStyle w:val="PageNumber"/>
      </w:rPr>
      <w:fldChar w:fldCharType="end"/>
    </w:r>
  </w:p>
  <w:p w:rsidR="00F82E08" w:rsidRPr="00750AFF" w:rsidRDefault="00F82E08">
    <w:pPr>
      <w:pStyle w:val="Header"/>
      <w:ind w:right="360"/>
      <w:rPr>
        <w:rFonts w:ascii="Tahoma" w:hAnsi="Taho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E08" w:rsidRPr="00750AFF" w:rsidRDefault="002311A4" w:rsidP="002311A4">
    <w:pPr>
      <w:pStyle w:val="Header"/>
      <w:framePr w:wrap="around" w:vAnchor="text" w:hAnchor="margin" w:xAlign="right" w:y="1"/>
      <w:tabs>
        <w:tab w:val="clear" w:pos="4320"/>
        <w:tab w:val="clear" w:pos="8640"/>
        <w:tab w:val="center" w:pos="4153"/>
        <w:tab w:val="right" w:pos="8306"/>
      </w:tabs>
      <w:rPr>
        <w:rFonts w:ascii="Tahoma" w:hAnsi="Tahoma"/>
      </w:rPr>
    </w:pPr>
    <w:r w:rsidRPr="0071368B">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5" type="#_x0000_t75" alt="11086 E Report Logo cl#DF92" style="width:132.75pt;height:53.25pt;visibility:visible">
          <v:imagedata r:id="rId1" o:title="11086 E Report Logo cl#DF92"/>
        </v:shape>
      </w:pict>
    </w:r>
    <w:r w:rsidRPr="002311A4">
      <w:rPr>
        <w:rFonts w:ascii="Tahoma" w:hAnsi="Tahoma"/>
      </w:rPr>
      <w:tab/>
    </w:r>
    <w:r w:rsidRPr="002311A4">
      <w:rPr>
        <w:rFonts w:ascii="Arial" w:hAnsi="Arial" w:cs="Arial"/>
        <w:b/>
      </w:rPr>
      <w:t>Shielding β radiation to reduce Bremsstrahlung</w:t>
    </w:r>
    <w:r w:rsidRPr="002311A4">
      <w:rPr>
        <w:rFonts w:ascii="Tahoma" w:hAnsi="Tahom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1A09FE"/>
    <w:multiLevelType w:val="hybridMultilevel"/>
    <w:tmpl w:val="10004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5097681">
    <w:abstractNumId w:val="1"/>
  </w:num>
  <w:num w:numId="2" w16cid:durableId="300156720">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653"/>
    <w:rsid w:val="00001283"/>
    <w:rsid w:val="000621A0"/>
    <w:rsid w:val="00092DA3"/>
    <w:rsid w:val="00197BD7"/>
    <w:rsid w:val="001A3D9B"/>
    <w:rsid w:val="001C0E34"/>
    <w:rsid w:val="00201653"/>
    <w:rsid w:val="00224EB9"/>
    <w:rsid w:val="002311A4"/>
    <w:rsid w:val="00366585"/>
    <w:rsid w:val="00472BE2"/>
    <w:rsid w:val="005337C4"/>
    <w:rsid w:val="00567598"/>
    <w:rsid w:val="00747F38"/>
    <w:rsid w:val="00750AFF"/>
    <w:rsid w:val="007A4705"/>
    <w:rsid w:val="007C4191"/>
    <w:rsid w:val="009D2872"/>
    <w:rsid w:val="00A833CC"/>
    <w:rsid w:val="00B40CDD"/>
    <w:rsid w:val="00D340C3"/>
    <w:rsid w:val="00D87EAC"/>
    <w:rsid w:val="00E271E6"/>
    <w:rsid w:val="00E61C4F"/>
    <w:rsid w:val="00E93E2A"/>
    <w:rsid w:val="00F82E08"/>
    <w:rsid w:val="00FB5DE2"/>
    <w:rsid w:val="00FD7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1FCFDE-6F47-4279-8164-B2471222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D7"/>
    <w:pPr>
      <w:overflowPunct w:val="0"/>
      <w:autoSpaceDE w:val="0"/>
      <w:autoSpaceDN w:val="0"/>
      <w:adjustRightInd w:val="0"/>
      <w:textAlignment w:val="baseline"/>
    </w:pPr>
    <w:rPr>
      <w:rFonts w:ascii="Times New Roman" w:eastAsia="Times New Roman" w:hAnsi="Times New Roman"/>
      <w:sz w:val="24"/>
      <w:lang w:eastAsia="en-US"/>
    </w:rPr>
  </w:style>
  <w:style w:type="paragraph" w:styleId="Heading1">
    <w:name w:val="heading 1"/>
    <w:basedOn w:val="Normal"/>
    <w:next w:val="Normal"/>
    <w:link w:val="Heading1Char"/>
    <w:qFormat/>
    <w:rsid w:val="00197BD7"/>
    <w:pPr>
      <w:keepNext/>
      <w:spacing w:after="120"/>
      <w:outlineLvl w:val="0"/>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7BD7"/>
    <w:rPr>
      <w:rFonts w:ascii="Times New Roman" w:eastAsia="Times New Roman" w:hAnsi="Times New Roman" w:cs="Times New Roman"/>
      <w:i/>
      <w:iCs/>
      <w:sz w:val="24"/>
      <w:szCs w:val="20"/>
      <w:lang w:val="en-US"/>
    </w:rPr>
  </w:style>
  <w:style w:type="paragraph" w:styleId="PlainText">
    <w:name w:val="Plain Text"/>
    <w:basedOn w:val="Normal"/>
    <w:link w:val="PlainTextChar"/>
    <w:rsid w:val="00197BD7"/>
    <w:pPr>
      <w:overflowPunct/>
      <w:autoSpaceDE/>
      <w:autoSpaceDN/>
      <w:adjustRightInd/>
      <w:textAlignment w:val="auto"/>
    </w:pPr>
    <w:rPr>
      <w:rFonts w:ascii="Courier New" w:hAnsi="Courier New"/>
      <w:sz w:val="20"/>
    </w:rPr>
  </w:style>
  <w:style w:type="character" w:customStyle="1" w:styleId="PlainTextChar">
    <w:name w:val="Plain Text Char"/>
    <w:link w:val="PlainText"/>
    <w:rsid w:val="00197BD7"/>
    <w:rPr>
      <w:rFonts w:ascii="Courier New" w:eastAsia="Times New Roman" w:hAnsi="Courier New" w:cs="Times New Roman"/>
      <w:sz w:val="20"/>
      <w:szCs w:val="20"/>
    </w:rPr>
  </w:style>
  <w:style w:type="character" w:styleId="Hyperlink">
    <w:name w:val="Hyperlink"/>
    <w:rsid w:val="00197BD7"/>
    <w:rPr>
      <w:color w:val="0000FF"/>
      <w:u w:val="single"/>
    </w:rPr>
  </w:style>
  <w:style w:type="paragraph" w:customStyle="1" w:styleId="Roysnormal">
    <w:name w:val="Roysnormal"/>
    <w:basedOn w:val="Normal"/>
    <w:autoRedefine/>
    <w:rsid w:val="00197BD7"/>
    <w:pPr>
      <w:overflowPunct/>
      <w:autoSpaceDE/>
      <w:autoSpaceDN/>
      <w:adjustRightInd/>
      <w:spacing w:after="120"/>
      <w:jc w:val="both"/>
      <w:textAlignment w:val="auto"/>
    </w:pPr>
    <w:rPr>
      <w:i/>
      <w:iCs/>
    </w:rPr>
  </w:style>
  <w:style w:type="paragraph" w:styleId="Header">
    <w:name w:val="header"/>
    <w:basedOn w:val="Normal"/>
    <w:link w:val="HeaderChar"/>
    <w:rsid w:val="00197BD7"/>
    <w:pPr>
      <w:tabs>
        <w:tab w:val="center" w:pos="4320"/>
        <w:tab w:val="right" w:pos="8640"/>
      </w:tabs>
    </w:pPr>
  </w:style>
  <w:style w:type="character" w:customStyle="1" w:styleId="HeaderChar">
    <w:name w:val="Header Char"/>
    <w:link w:val="Header"/>
    <w:rsid w:val="00197BD7"/>
    <w:rPr>
      <w:rFonts w:ascii="Times New Roman" w:eastAsia="Times New Roman" w:hAnsi="Times New Roman" w:cs="Times New Roman"/>
      <w:sz w:val="24"/>
      <w:szCs w:val="20"/>
    </w:rPr>
  </w:style>
  <w:style w:type="paragraph" w:styleId="Footer">
    <w:name w:val="footer"/>
    <w:basedOn w:val="Normal"/>
    <w:link w:val="FooterChar"/>
    <w:uiPriority w:val="99"/>
    <w:rsid w:val="00197BD7"/>
    <w:pPr>
      <w:tabs>
        <w:tab w:val="center" w:pos="4320"/>
        <w:tab w:val="right" w:pos="8640"/>
      </w:tabs>
    </w:pPr>
  </w:style>
  <w:style w:type="character" w:customStyle="1" w:styleId="FooterChar">
    <w:name w:val="Footer Char"/>
    <w:link w:val="Footer"/>
    <w:uiPriority w:val="99"/>
    <w:rsid w:val="00197BD7"/>
    <w:rPr>
      <w:rFonts w:ascii="Times New Roman" w:eastAsia="Times New Roman" w:hAnsi="Times New Roman" w:cs="Times New Roman"/>
      <w:sz w:val="24"/>
      <w:szCs w:val="20"/>
    </w:rPr>
  </w:style>
  <w:style w:type="character" w:styleId="PageNumber">
    <w:name w:val="page number"/>
    <w:basedOn w:val="DefaultParagraphFont"/>
    <w:rsid w:val="0019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Relationship Target="header2.xml" Type="http://schemas.openxmlformats.org/officeDocument/2006/relationships/header" Id="rId8"></Relationship><Relationship Target="settings.xml" Type="http://schemas.openxmlformats.org/officeDocument/2006/relationships/settings" Id="rId3"></Relationship><Relationship Target="header1.xml" Type="http://schemas.openxmlformats.org/officeDocument/2006/relationships/head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theme/theme1.xml" Type="http://schemas.openxmlformats.org/officeDocument/2006/relationships/theme" Id="rId11"></Relationship><Relationship Target="footnotes.xml" Type="http://schemas.openxmlformats.org/officeDocument/2006/relationships/footnotes" Id="rId5"></Relationship><Relationship Target="fontTable.xml" Type="http://schemas.openxmlformats.org/officeDocument/2006/relationships/fontTable" Id="rId10"></Relationship><Relationship Target="webSettings.xml" Type="http://schemas.openxmlformats.org/officeDocument/2006/relationships/webSettings" Id="rId4"></Relationship><Relationship Target="footer1.xml" Type="http://schemas.openxmlformats.org/officeDocument/2006/relationships/footer" Id="rId9"></Relationship></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OHS\OHS%20POLICY%20DOCUMENTS\Templates%20for%20Policies,%20Procedures%20and%20Guidelines\Template%20for%20Attachment%20for%20Procedures%20and%20Guide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Template for Attachment for Procedures and Guidelines.dotx</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u4937660</dc:creator>
  <cp:keywords/>
  <dc:description/>
  <cp:lastModifiedBy>Perumal RajangamMylarum</cp:lastModifiedBy>
  <cp:revision>2</cp:revision>
  <dcterms:created xsi:type="dcterms:W3CDTF">2024-03-05T02:19:00Z</dcterms:created>
  <dcterms:modified xsi:type="dcterms:W3CDTF">2024-03-05T02:19:00Z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ANUP_001188</vt:lpwstr>
  </property>
  <property fmtid="{D5CDD505-2E9C-101B-9397-08002B2CF9AE}" pid="10" name="DISProperties">
    <vt:lpwstr>DISdDocName,DIScgiUrl,DISdUser,DISdID,DISidcName,DISTaskPaneUrl</vt:lpwstr>
  </property>
  <property fmtid="{D5CDD505-2E9C-101B-9397-08002B2CF9AE}" pid="11" name="DIScgiUrl">
    <vt:lpwstr>https://erms.anu.edu.au/cs/idcplg</vt:lpwstr>
  </property>
  <property fmtid="{D5CDD505-2E9C-101B-9397-08002B2CF9AE}" pid="12" name="DISdUser">
    <vt:lpwstr>u6808087</vt:lpwstr>
  </property>
  <property fmtid="{D5CDD505-2E9C-101B-9397-08002B2CF9AE}" pid="13" name="DISdID">
    <vt:lpwstr>4680737</vt:lpwstr>
  </property>
  <property fmtid="{D5CDD505-2E9C-101B-9397-08002B2CF9AE}" pid="14" name="DISidcName">
    <vt:lpwstr>ermscon1ermsanueduau16200</vt:lpwstr>
  </property>
  <property fmtid="{D5CDD505-2E9C-101B-9397-08002B2CF9AE}" pid="15" name="DISTaskPaneUrl">
    <vt:lpwstr>https://erms.anu.edu.au/cs/idcplg?IdcService=DESKTOP_DOC_INFO&amp;dDocName=ANUP_001188&amp;dID=4680737&amp;ClientControlled=DocMan,taskpane&amp;coreContentOnly=1</vt:lpwstr>
  </property>
</Properties>
</file>