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ECD1" w14:textId="77777777" w:rsidR="00C77611" w:rsidRPr="00D05DEA" w:rsidRDefault="00216B8B" w:rsidP="001E1364">
      <w:pPr>
        <w:pStyle w:val="Heading1"/>
        <w:rPr>
          <w:color w:val="000000" w:themeColor="text1"/>
        </w:rPr>
      </w:pPr>
      <w:r w:rsidRPr="00D05DEA">
        <w:rPr>
          <w:color w:val="000000" w:themeColor="text1"/>
        </w:rPr>
        <w:t>Guideline</w:t>
      </w:r>
      <w:r w:rsidR="00C77611" w:rsidRPr="00D05DEA">
        <w:rPr>
          <w:color w:val="000000" w:themeColor="text1"/>
        </w:rPr>
        <w:t>:</w:t>
      </w:r>
      <w:r w:rsidR="004A3B95" w:rsidRPr="00D05DEA">
        <w:rPr>
          <w:color w:val="000000" w:themeColor="text1"/>
        </w:rPr>
        <w:t xml:space="preserve"> </w:t>
      </w:r>
      <w:r w:rsidR="00B62FF7" w:rsidRPr="00D05DEA">
        <w:rPr>
          <w:color w:val="000000" w:themeColor="text1"/>
        </w:rPr>
        <w:t>Gas sensor</w:t>
      </w:r>
    </w:p>
    <w:p w14:paraId="554EEAC3" w14:textId="77777777" w:rsidR="00216B8B" w:rsidRPr="00D05DEA" w:rsidRDefault="00216B8B" w:rsidP="00C77611">
      <w:pPr>
        <w:pStyle w:val="Heading2"/>
        <w:rPr>
          <w:color w:val="000000" w:themeColor="text1"/>
        </w:rPr>
      </w:pPr>
      <w:r w:rsidRPr="00D05DEA">
        <w:rPr>
          <w:color w:val="000000" w:themeColor="text1"/>
        </w:rPr>
        <w:t>Purpose</w:t>
      </w:r>
    </w:p>
    <w:p w14:paraId="4F9116B4" w14:textId="335A6EFA" w:rsidR="00B62FF7" w:rsidRDefault="00B62FF7" w:rsidP="00B62FF7">
      <w:r w:rsidRPr="00B62FF7">
        <w:t xml:space="preserve">To </w:t>
      </w:r>
      <w:r w:rsidR="00D36726">
        <w:t>establish the</w:t>
      </w:r>
      <w:r w:rsidRPr="00B62FF7">
        <w:t xml:space="preserve"> guidelines for the choice, installation and operation of gas sensors </w:t>
      </w:r>
      <w:r w:rsidR="00D36726">
        <w:t>across the University.</w:t>
      </w:r>
    </w:p>
    <w:p w14:paraId="0C20C565" w14:textId="77777777" w:rsidR="0031504E" w:rsidRPr="00D05DEA" w:rsidRDefault="0031504E" w:rsidP="00872E38">
      <w:pPr>
        <w:pStyle w:val="Heading2"/>
        <w:rPr>
          <w:color w:val="000000" w:themeColor="text1"/>
        </w:rPr>
      </w:pPr>
      <w:r w:rsidRPr="00D05DEA">
        <w:rPr>
          <w:color w:val="000000" w:themeColor="text1"/>
        </w:rPr>
        <w:t>Definitions</w:t>
      </w:r>
    </w:p>
    <w:p w14:paraId="60416A8A" w14:textId="3F8D40AD" w:rsidR="00D36726" w:rsidRDefault="00D36726">
      <w:r w:rsidRPr="00872E38">
        <w:rPr>
          <w:b/>
        </w:rPr>
        <w:t>Lower Explosive Limit (LEL)</w:t>
      </w:r>
      <w:r>
        <w:t xml:space="preserve"> is the lowest concentration (expressed as a percentage) of a gas or vapour in the air cap</w:t>
      </w:r>
      <w:r w:rsidR="006B7F29">
        <w:t xml:space="preserve">able of producing a flash of fire in the </w:t>
      </w:r>
      <w:r w:rsidR="001E1364">
        <w:t>presence of an ignition source.</w:t>
      </w:r>
    </w:p>
    <w:p w14:paraId="48A10879" w14:textId="77777777" w:rsidR="00D36726" w:rsidRDefault="00D36726">
      <w:r w:rsidRPr="00872E38">
        <w:rPr>
          <w:b/>
        </w:rPr>
        <w:t>Threshold Limit Value</w:t>
      </w:r>
      <w:r w:rsidR="00A85817" w:rsidRPr="00872E38">
        <w:rPr>
          <w:b/>
        </w:rPr>
        <w:t xml:space="preserve"> (TLV)</w:t>
      </w:r>
      <w:r w:rsidR="006B7F29">
        <w:t xml:space="preserve"> is the airborne concentration of a substance below which all workers can be exposed to without adverse effects following repeated day to day exposure for 8 hour periods.</w:t>
      </w:r>
    </w:p>
    <w:p w14:paraId="738A444B" w14:textId="1CE878AC" w:rsidR="00613F32" w:rsidRPr="00D36726" w:rsidRDefault="00D36726">
      <w:r w:rsidRPr="00872E38">
        <w:rPr>
          <w:b/>
        </w:rPr>
        <w:t>Short Term Exposure Limit</w:t>
      </w:r>
      <w:r w:rsidR="00A85817" w:rsidRPr="00872E38">
        <w:rPr>
          <w:b/>
        </w:rPr>
        <w:t xml:space="preserve"> (STEL)</w:t>
      </w:r>
      <w:r>
        <w:t xml:space="preserve"> </w:t>
      </w:r>
      <w:r w:rsidR="006B7F29">
        <w:t>is the average airborne concentration of a substance permitted over a 15 minute period</w:t>
      </w:r>
      <w:r w:rsidR="00BF4FE3">
        <w:t xml:space="preserve">, which should not be exceeded at any time during an </w:t>
      </w:r>
      <w:r w:rsidR="001E1364">
        <w:t>eight</w:t>
      </w:r>
      <w:r w:rsidR="00BF4FE3">
        <w:t xml:space="preserve"> hour working day.</w:t>
      </w:r>
    </w:p>
    <w:p w14:paraId="70E8F090" w14:textId="77777777" w:rsidR="00C77611" w:rsidRPr="00D05DEA" w:rsidRDefault="008F4577" w:rsidP="00C77611">
      <w:pPr>
        <w:pStyle w:val="Heading2"/>
        <w:rPr>
          <w:color w:val="000000" w:themeColor="text1"/>
        </w:rPr>
      </w:pPr>
      <w:r w:rsidRPr="00D05DEA">
        <w:rPr>
          <w:color w:val="000000" w:themeColor="text1"/>
        </w:rPr>
        <w:t>Guideline</w:t>
      </w:r>
    </w:p>
    <w:p w14:paraId="3361B169" w14:textId="7C902426" w:rsidR="00B62FF7" w:rsidRDefault="001E1364" w:rsidP="00B62FF7">
      <w:pPr>
        <w:pStyle w:val="Heading3"/>
      </w:pPr>
      <w:r>
        <w:t>Scope</w:t>
      </w:r>
    </w:p>
    <w:p w14:paraId="45DFCE9A" w14:textId="36F86964" w:rsidR="00B62FF7" w:rsidRDefault="00B62FF7" w:rsidP="00B62FF7">
      <w:pPr>
        <w:pStyle w:val="ListNumber"/>
      </w:pPr>
      <w:r>
        <w:t xml:space="preserve">This guideline provides information </w:t>
      </w:r>
      <w:r w:rsidR="00AA7C60">
        <w:t>to assist Facilities and Services</w:t>
      </w:r>
      <w:r w:rsidR="00613F32">
        <w:t xml:space="preserve"> (F&amp;S)</w:t>
      </w:r>
      <w:r w:rsidR="001E1364">
        <w:t xml:space="preserve"> and Local a</w:t>
      </w:r>
      <w:r w:rsidR="00AA7C60">
        <w:t xml:space="preserve">reas </w:t>
      </w:r>
      <w:r>
        <w:t>on the selection, installation and operation of fixed gas sensors and monitoring systems in University workplaces.</w:t>
      </w:r>
    </w:p>
    <w:p w14:paraId="3605D265" w14:textId="4E7AE544" w:rsidR="00B62FF7" w:rsidRDefault="00B62FF7" w:rsidP="00B62FF7">
      <w:pPr>
        <w:pStyle w:val="ListNumber"/>
      </w:pPr>
      <w:r>
        <w:t xml:space="preserve">To ensure an effective gas monitoring system, it is a requirement to involve the </w:t>
      </w:r>
      <w:r w:rsidR="00B42B6E">
        <w:t>Work Environment Group (WEG)</w:t>
      </w:r>
      <w:r>
        <w:t xml:space="preserve"> during the system design stage.</w:t>
      </w:r>
    </w:p>
    <w:p w14:paraId="18654E7A" w14:textId="77777777" w:rsidR="00B62FF7" w:rsidRDefault="00B62FF7" w:rsidP="00B62FF7">
      <w:pPr>
        <w:pStyle w:val="Heading3"/>
      </w:pPr>
      <w:r>
        <w:t>Exemption</w:t>
      </w:r>
    </w:p>
    <w:p w14:paraId="01805360" w14:textId="12D5D1CF" w:rsidR="00B62FF7" w:rsidRDefault="00B62FF7" w:rsidP="00B62FF7">
      <w:pPr>
        <w:pStyle w:val="ListNumber"/>
      </w:pPr>
      <w:r>
        <w:t>An exemption to this guideline is only available in writing after appropriate discussions and agreement with the</w:t>
      </w:r>
      <w:r w:rsidR="001F519A">
        <w:t xml:space="preserve"> WEG</w:t>
      </w:r>
      <w:r>
        <w:t>.</w:t>
      </w:r>
    </w:p>
    <w:p w14:paraId="330B2E11" w14:textId="2FDEAD2B" w:rsidR="00B62FF7" w:rsidRDefault="00B62FF7" w:rsidP="00B62FF7">
      <w:pPr>
        <w:pStyle w:val="ListNumber"/>
      </w:pPr>
      <w:r>
        <w:t xml:space="preserve">Portable gas monitors are not covered by this guideline. However, portable gas monitors/detectors </w:t>
      </w:r>
      <w:r w:rsidR="00AA7C60">
        <w:t xml:space="preserve">are to </w:t>
      </w:r>
      <w:r>
        <w:t>be operated by trained and competent people. A portable monitor must be maintained in-line with the manufacturer's requirements.</w:t>
      </w:r>
    </w:p>
    <w:p w14:paraId="4EF311C0" w14:textId="77777777" w:rsidR="00B62FF7" w:rsidRDefault="00B62FF7" w:rsidP="00B62FF7">
      <w:pPr>
        <w:pStyle w:val="Heading3"/>
      </w:pPr>
      <w:r>
        <w:lastRenderedPageBreak/>
        <w:t>Gas system design</w:t>
      </w:r>
    </w:p>
    <w:p w14:paraId="5DFCD458" w14:textId="77777777" w:rsidR="00B62FF7" w:rsidRDefault="00B62FF7" w:rsidP="00B62FF7">
      <w:pPr>
        <w:pStyle w:val="ListNumber"/>
      </w:pPr>
      <w:r>
        <w:t>A gas monitoring system aims to provide:</w:t>
      </w:r>
    </w:p>
    <w:p w14:paraId="476B112E" w14:textId="2A5BF442" w:rsidR="00B62FF7" w:rsidRDefault="00B62FF7" w:rsidP="00B62FF7">
      <w:pPr>
        <w:pStyle w:val="ListBullet"/>
      </w:pPr>
      <w:r>
        <w:t>(</w:t>
      </w:r>
      <w:r w:rsidR="009D3632">
        <w:t>e</w:t>
      </w:r>
      <w:r>
        <w:t xml:space="preserve">arly) </w:t>
      </w:r>
      <w:r w:rsidR="009D3632">
        <w:t>d</w:t>
      </w:r>
      <w:r>
        <w:t>etection and warning of a gas leak</w:t>
      </w:r>
      <w:r w:rsidR="009D3632">
        <w:t>;</w:t>
      </w:r>
    </w:p>
    <w:p w14:paraId="717EEA0C" w14:textId="00AE84D0" w:rsidR="00B62FF7" w:rsidRDefault="009D3632" w:rsidP="00B62FF7">
      <w:pPr>
        <w:pStyle w:val="ListBullet"/>
      </w:pPr>
      <w:r>
        <w:t>a</w:t>
      </w:r>
      <w:r w:rsidR="00B62FF7">
        <w:t>ctions in the event of process or gas system failure</w:t>
      </w:r>
      <w:r>
        <w:t>;</w:t>
      </w:r>
      <w:r w:rsidR="00B62FF7">
        <w:t xml:space="preserve"> and/or </w:t>
      </w:r>
    </w:p>
    <w:p w14:paraId="2CE5D47C" w14:textId="68077E24" w:rsidR="00B62FF7" w:rsidRDefault="00A85817" w:rsidP="00B62FF7">
      <w:pPr>
        <w:pStyle w:val="ListBullet"/>
      </w:pPr>
      <w:r>
        <w:t>w</w:t>
      </w:r>
      <w:r w:rsidR="00B62FF7">
        <w:t>arning of a hazardous work environment that may pres</w:t>
      </w:r>
      <w:r w:rsidR="001E1364">
        <w:t>ent a risk to health or safety.</w:t>
      </w:r>
    </w:p>
    <w:p w14:paraId="081551EC" w14:textId="55E2359A" w:rsidR="00B62FF7" w:rsidRDefault="00B62FF7" w:rsidP="00A36424">
      <w:pPr>
        <w:pStyle w:val="ListNumber"/>
      </w:pPr>
      <w:r>
        <w:t xml:space="preserve">The gas supply system and supporting gas monitoring system must be discussed and designed with input from </w:t>
      </w:r>
      <w:hyperlink r:id="rId8" w:history="1">
        <w:r w:rsidR="000F4495" w:rsidRPr="000F4495">
          <w:rPr>
            <w:rStyle w:val="Hyperlink"/>
            <w:color w:val="C38B3F"/>
          </w:rPr>
          <w:t>Safety and Wellbeing</w:t>
        </w:r>
      </w:hyperlink>
      <w:r>
        <w:t xml:space="preserve"> (</w:t>
      </w:r>
      <w:r w:rsidR="00106F6D">
        <w:rPr>
          <w:rFonts w:ascii="ZWAdobeF" w:hAnsi="ZWAdobeF" w:cs="ZWAdobeF"/>
          <w:sz w:val="2"/>
          <w:szCs w:val="2"/>
        </w:rPr>
        <w:t>4U</w:t>
      </w:r>
      <w:r w:rsidR="000F4495" w:rsidRPr="000F4495">
        <w:t xml:space="preserve"> </w:t>
      </w:r>
      <w:hyperlink r:id="rId9" w:history="1">
        <w:r w:rsidR="000F4495" w:rsidRPr="000F4495">
          <w:rPr>
            <w:rFonts w:ascii="Public Sans" w:hAnsi="Public Sans"/>
            <w:spacing w:val="2"/>
            <w:sz w:val="22"/>
            <w:szCs w:val="22"/>
          </w:rPr>
          <w:t>whs@anu.e</w:t>
        </w:r>
        <w:r w:rsidR="000F4495" w:rsidRPr="000F4495">
          <w:rPr>
            <w:rFonts w:ascii="Public Sans" w:hAnsi="Public Sans"/>
            <w:spacing w:val="2"/>
            <w:sz w:val="22"/>
            <w:szCs w:val="22"/>
          </w:rPr>
          <w:t>d</w:t>
        </w:r>
        <w:r w:rsidR="000F4495" w:rsidRPr="000F4495">
          <w:rPr>
            <w:rFonts w:ascii="Public Sans" w:hAnsi="Public Sans"/>
            <w:spacing w:val="2"/>
            <w:sz w:val="22"/>
            <w:szCs w:val="22"/>
          </w:rPr>
          <w:t>u.au</w:t>
        </w:r>
      </w:hyperlink>
      <w:r w:rsidR="00106F6D" w:rsidRPr="00106F6D">
        <w:rPr>
          <w:rStyle w:val="Hyperlink"/>
          <w:rFonts w:ascii="ZWAdobeF" w:hAnsi="ZWAdobeF" w:cs="ZWAdobeF"/>
          <w:color w:val="auto"/>
          <w:sz w:val="2"/>
          <w:szCs w:val="2"/>
          <w:u w:val="none"/>
        </w:rPr>
        <w:t>U34T</w:t>
      </w:r>
      <w:r>
        <w:t>)</w:t>
      </w:r>
      <w:r w:rsidR="00BC31C2">
        <w:t xml:space="preserve"> and engaged external suppliers as appropriate</w:t>
      </w:r>
      <w:r>
        <w:t>. Shared processes, gas specificity, cross-sensitivities, sensor poisoning and contamination must be considered to ensure reliable gas monitoring and to minimise false alarms.</w:t>
      </w:r>
    </w:p>
    <w:p w14:paraId="34F4790B" w14:textId="77777777" w:rsidR="00B62FF7" w:rsidRDefault="00B62FF7" w:rsidP="00A36424">
      <w:pPr>
        <w:pStyle w:val="ListNumber"/>
      </w:pPr>
      <w:r>
        <w:t>The presence of a gas monitoring system does not remove the requirement to have appropriate gas system shutdown devices and emergency procedures.</w:t>
      </w:r>
    </w:p>
    <w:p w14:paraId="21D45837" w14:textId="77777777" w:rsidR="00B62FF7" w:rsidRDefault="00B62FF7" w:rsidP="00274ACA">
      <w:pPr>
        <w:pStyle w:val="Heading3"/>
      </w:pPr>
      <w:r>
        <w:t>Gas monitoring options</w:t>
      </w:r>
    </w:p>
    <w:p w14:paraId="6A48F8D0" w14:textId="21C8F1D3" w:rsidR="00B62FF7" w:rsidRDefault="00B62FF7" w:rsidP="00B62FF7">
      <w:pPr>
        <w:pStyle w:val="ListNumber"/>
      </w:pPr>
      <w:r>
        <w:t>Gas sensors are available for a variety of gases. Where a specific gas sensor is not available, a surrogate gas sensor (e.g. oxygen for inert gases) may be used.</w:t>
      </w:r>
      <w:r w:rsidR="0040390F">
        <w:t xml:space="preserve"> As per AS/NZS 60079.29.2</w:t>
      </w:r>
      <w:r w:rsidR="00452873">
        <w:t xml:space="preserve"> – Explosive atmospheres Gas detectors, oxygen deficiency measurement is not to be used for the detection of toxic gases as reliance on oxygen detectors to monitor the presence of carbon</w:t>
      </w:r>
      <w:r w:rsidR="001E1364">
        <w:t xml:space="preserve"> dioxide has led to fatalities.</w:t>
      </w:r>
    </w:p>
    <w:p w14:paraId="0C7E44AB" w14:textId="77777777" w:rsidR="00B62FF7" w:rsidRDefault="00B62FF7" w:rsidP="00B62FF7">
      <w:pPr>
        <w:pStyle w:val="ListNumber"/>
      </w:pPr>
      <w:r>
        <w:t>Gas sensors shall be located and positioned such that they can quickly detect an abnormal gas or process situation. Possible sensor locations are:</w:t>
      </w:r>
    </w:p>
    <w:p w14:paraId="631D0652" w14:textId="7549BD78" w:rsidR="00B62FF7" w:rsidRDefault="009D3632" w:rsidP="00B62FF7">
      <w:pPr>
        <w:pStyle w:val="ListBullet"/>
      </w:pPr>
      <w:r>
        <w:t>a</w:t>
      </w:r>
      <w:r w:rsidR="00B62FF7">
        <w:t>ssociated with the gas supply network (e.g. gas cage and protective ducting/housing)</w:t>
      </w:r>
      <w:r>
        <w:t>;</w:t>
      </w:r>
    </w:p>
    <w:p w14:paraId="6B886C73" w14:textId="0F4D244C" w:rsidR="00B62FF7" w:rsidRDefault="009D3632" w:rsidP="00B62FF7">
      <w:pPr>
        <w:pStyle w:val="ListBullet"/>
      </w:pPr>
      <w:r>
        <w:t>w</w:t>
      </w:r>
      <w:r w:rsidR="00B62FF7">
        <w:t>ithin the process equipment (e.g. gas control panel, point of c</w:t>
      </w:r>
      <w:r w:rsidR="001E1364">
        <w:t>onsumption);</w:t>
      </w:r>
    </w:p>
    <w:p w14:paraId="6BB570DC" w14:textId="660F5EF9" w:rsidR="00B62FF7" w:rsidRDefault="009D3632" w:rsidP="00B62FF7">
      <w:pPr>
        <w:pStyle w:val="ListBullet"/>
      </w:pPr>
      <w:r>
        <w:t>w</w:t>
      </w:r>
      <w:r w:rsidR="00B62FF7">
        <w:t>ithin the habitable work environment</w:t>
      </w:r>
      <w:r>
        <w:t>;</w:t>
      </w:r>
    </w:p>
    <w:p w14:paraId="2AB79625" w14:textId="0EFDD781" w:rsidR="00B62FF7" w:rsidRDefault="009D3632" w:rsidP="00B62FF7">
      <w:pPr>
        <w:pStyle w:val="ListBullet"/>
      </w:pPr>
      <w:r>
        <w:t>a</w:t>
      </w:r>
      <w:r w:rsidR="00B62FF7">
        <w:t>fter a gas cleaning device (scrubber)</w:t>
      </w:r>
      <w:r>
        <w:t>;</w:t>
      </w:r>
      <w:r w:rsidR="00B62FF7">
        <w:t xml:space="preserve"> and </w:t>
      </w:r>
    </w:p>
    <w:p w14:paraId="6007C469" w14:textId="36B81123" w:rsidR="00B62FF7" w:rsidRDefault="009D3632" w:rsidP="00B62FF7">
      <w:pPr>
        <w:pStyle w:val="ListBullet"/>
      </w:pPr>
      <w:r>
        <w:t>w</w:t>
      </w:r>
      <w:r w:rsidR="00B62FF7">
        <w:t>ithin the exhaust ventilation system</w:t>
      </w:r>
      <w:r w:rsidR="00A85817">
        <w:t xml:space="preserve"> (note: some sensors may not function correctly in high velocity exhaust systems)</w:t>
      </w:r>
      <w:r w:rsidR="00B62FF7">
        <w:t>.</w:t>
      </w:r>
    </w:p>
    <w:p w14:paraId="2506C81D" w14:textId="6986FFE5" w:rsidR="00B62FF7" w:rsidRDefault="00B62FF7" w:rsidP="00B62FF7">
      <w:pPr>
        <w:pStyle w:val="ListNumber"/>
      </w:pPr>
      <w:r>
        <w:t>One or several of these locations may be required for monitoring gas. The work environment must be monitored when a leak would pose a significant risk to life and health.</w:t>
      </w:r>
    </w:p>
    <w:p w14:paraId="1037BD75" w14:textId="0B2A3968" w:rsidR="00B62FF7" w:rsidRDefault="00B62FF7" w:rsidP="00B62FF7">
      <w:pPr>
        <w:pStyle w:val="ListNumber"/>
      </w:pPr>
      <w:r>
        <w:t>The height of the gas sensor will be dependent on the gas'</w:t>
      </w:r>
      <w:r w:rsidR="001E1364">
        <w:t>s</w:t>
      </w:r>
      <w:r>
        <w:t xml:space="preserve"> relative density. Heavy or cold gases will be monitored at a lower level than lighter or hot gases. Additional detail can be found in the table below.</w:t>
      </w:r>
    </w:p>
    <w:p w14:paraId="456BD877" w14:textId="77777777" w:rsidR="00B62FF7" w:rsidRDefault="00B62FF7" w:rsidP="00B62FF7">
      <w:pPr>
        <w:pStyle w:val="ListNumber"/>
      </w:pPr>
      <w:r>
        <w:lastRenderedPageBreak/>
        <w:t>A gas monitoring display/panel should be provided for laboratory gas monitoring systems. Any gas display panel must be located outside the (potentially) hazardous zone/room.</w:t>
      </w:r>
    </w:p>
    <w:p w14:paraId="555C3874" w14:textId="77777777" w:rsidR="00B62FF7" w:rsidRDefault="00B62FF7" w:rsidP="00B62FF7">
      <w:pPr>
        <w:pStyle w:val="ListNumber"/>
      </w:pPr>
      <w:r>
        <w:t>A battery backup for the gas monitoring system must be considered, especially where the process may continue without power or ramp-up quickly after power is restored. This ensures that the gas sensor requires little or no time to stabilise and the system reliably operates.</w:t>
      </w:r>
    </w:p>
    <w:p w14:paraId="4DEE9135" w14:textId="77777777" w:rsidR="00B62FF7" w:rsidRDefault="00B62FF7" w:rsidP="00B62FF7">
      <w:pPr>
        <w:pStyle w:val="Heading3"/>
      </w:pPr>
      <w:r>
        <w:t>Setting gas detector responses</w:t>
      </w:r>
    </w:p>
    <w:p w14:paraId="54457AA4" w14:textId="45D32C8A" w:rsidR="00B62FF7" w:rsidRDefault="00B62FF7" w:rsidP="00B62FF7">
      <w:pPr>
        <w:pStyle w:val="ListNumber"/>
      </w:pPr>
      <w:r>
        <w:t xml:space="preserve">The concentration of gas that triggers an alarm must be discussed and determined in consultation with the </w:t>
      </w:r>
      <w:r w:rsidR="001F519A">
        <w:t>WEG</w:t>
      </w:r>
      <w:r w:rsidR="00187CA5">
        <w:t xml:space="preserve"> </w:t>
      </w:r>
      <w:r w:rsidR="00BC31C2">
        <w:t>and engaged external suppliers</w:t>
      </w:r>
      <w:r>
        <w:t xml:space="preserve">. </w:t>
      </w:r>
      <w:r w:rsidR="00BC31C2">
        <w:t>C</w:t>
      </w:r>
      <w:r>
        <w:t xml:space="preserve">ommon examples </w:t>
      </w:r>
      <w:r w:rsidR="00BC31C2">
        <w:t>are provided in</w:t>
      </w:r>
      <w:r>
        <w:t xml:space="preserve"> </w:t>
      </w:r>
      <w:r w:rsidR="00BC31C2">
        <w:t>T</w:t>
      </w:r>
      <w:r>
        <w:t xml:space="preserve">able </w:t>
      </w:r>
      <w:r w:rsidR="00BC31C2">
        <w:t xml:space="preserve">1 </w:t>
      </w:r>
      <w:r>
        <w:t>below.</w:t>
      </w:r>
    </w:p>
    <w:p w14:paraId="087EBDFF" w14:textId="7D4E31F7" w:rsidR="00B62FF7" w:rsidRDefault="00A85817" w:rsidP="00B62FF7">
      <w:pPr>
        <w:pStyle w:val="ListNumber"/>
      </w:pPr>
      <w:r>
        <w:t>A</w:t>
      </w:r>
      <w:r w:rsidR="00B62FF7">
        <w:t xml:space="preserve">ctions in the event of a high or dangerous gas concentration/situation </w:t>
      </w:r>
      <w:r w:rsidR="00BC31C2">
        <w:t xml:space="preserve">are to </w:t>
      </w:r>
      <w:r w:rsidR="00B62FF7">
        <w:t xml:space="preserve">be pre-determined and agreed with </w:t>
      </w:r>
      <w:r w:rsidR="001F519A">
        <w:t>WEG</w:t>
      </w:r>
      <w:r w:rsidR="00BC31C2">
        <w:t xml:space="preserve">, </w:t>
      </w:r>
      <w:r w:rsidR="00187CA5">
        <w:t>F&amp;S</w:t>
      </w:r>
      <w:r w:rsidR="00BC31C2">
        <w:t xml:space="preserve"> and any engaged external suppliers.</w:t>
      </w:r>
      <w:r w:rsidR="00B62FF7">
        <w:t xml:space="preserve"> </w:t>
      </w:r>
      <w:r w:rsidR="0031504E">
        <w:t>O</w:t>
      </w:r>
      <w:r w:rsidR="00B62FF7">
        <w:t>ptions include:</w:t>
      </w:r>
    </w:p>
    <w:p w14:paraId="014BA001" w14:textId="33742B08" w:rsidR="00B62FF7" w:rsidRDefault="009D3632" w:rsidP="00B62FF7">
      <w:pPr>
        <w:pStyle w:val="ListBullet"/>
      </w:pPr>
      <w:r>
        <w:t>a</w:t>
      </w:r>
      <w:r w:rsidR="00B62FF7">
        <w:t xml:space="preserve"> link to the fire/emergency evacuation alarm system to initiate a building evacuation</w:t>
      </w:r>
      <w:r>
        <w:t>;</w:t>
      </w:r>
    </w:p>
    <w:p w14:paraId="4D45FAF6" w14:textId="4400900F" w:rsidR="00B62FF7" w:rsidRDefault="009D3632" w:rsidP="00B62FF7">
      <w:pPr>
        <w:pStyle w:val="ListBullet"/>
      </w:pPr>
      <w:r>
        <w:t>i</w:t>
      </w:r>
      <w:r w:rsidR="00B62FF7">
        <w:t>nteraction with the building management system to shut down the building's ventilation system or increase exhaust ventilation flow rates</w:t>
      </w:r>
      <w:r>
        <w:t>;</w:t>
      </w:r>
    </w:p>
    <w:p w14:paraId="10B99CD8" w14:textId="1080CE39" w:rsidR="00B62FF7" w:rsidRDefault="009D3632" w:rsidP="00B62FF7">
      <w:pPr>
        <w:pStyle w:val="ListBullet"/>
      </w:pPr>
      <w:r>
        <w:t>a</w:t>
      </w:r>
      <w:r w:rsidR="00B62FF7">
        <w:t>ctivation of gas shut-off valves</w:t>
      </w:r>
      <w:r w:rsidR="00A85817">
        <w:t xml:space="preserve"> (including those outside the building if available)</w:t>
      </w:r>
      <w:r w:rsidR="001517AA">
        <w:t>;</w:t>
      </w:r>
    </w:p>
    <w:p w14:paraId="3BC2B182" w14:textId="20239EF7" w:rsidR="00B62FF7" w:rsidRDefault="009D3632" w:rsidP="00B62FF7">
      <w:pPr>
        <w:pStyle w:val="ListBullet"/>
      </w:pPr>
      <w:r>
        <w:t>r</w:t>
      </w:r>
      <w:r w:rsidR="00B62FF7">
        <w:t xml:space="preserve">estricting </w:t>
      </w:r>
      <w:r w:rsidR="00A85817">
        <w:t>f</w:t>
      </w:r>
      <w:r w:rsidR="00B62FF7">
        <w:t>acility, room or door access or operation</w:t>
      </w:r>
      <w:r>
        <w:t>;</w:t>
      </w:r>
      <w:r w:rsidR="00B62FF7">
        <w:t xml:space="preserve"> and </w:t>
      </w:r>
    </w:p>
    <w:p w14:paraId="3720940E" w14:textId="11963FC0" w:rsidR="00B62FF7" w:rsidRDefault="009D3632" w:rsidP="00B62FF7">
      <w:pPr>
        <w:pStyle w:val="ListBullet"/>
      </w:pPr>
      <w:r>
        <w:t>s</w:t>
      </w:r>
      <w:r w:rsidR="00B62FF7">
        <w:t>imple audible and/or visible alarm signals.</w:t>
      </w:r>
    </w:p>
    <w:p w14:paraId="77DCB007" w14:textId="77777777" w:rsidR="00B62FF7" w:rsidRDefault="00B62FF7" w:rsidP="00B62FF7">
      <w:pPr>
        <w:pStyle w:val="Heading3"/>
      </w:pPr>
      <w:r>
        <w:t>Calibration</w:t>
      </w:r>
    </w:p>
    <w:p w14:paraId="6859FFAA" w14:textId="679F8F7E" w:rsidR="00B62FF7" w:rsidRDefault="00B62FF7" w:rsidP="00B62FF7">
      <w:pPr>
        <w:pStyle w:val="ListNumber"/>
      </w:pPr>
      <w:r>
        <w:t>Calibra</w:t>
      </w:r>
      <w:r w:rsidR="001517AA">
        <w:t>tion of gas sensors must occur:</w:t>
      </w:r>
    </w:p>
    <w:p w14:paraId="5FB2182A" w14:textId="4C18704E" w:rsidR="00B62FF7" w:rsidRDefault="00B62FF7" w:rsidP="00B62FF7">
      <w:pPr>
        <w:pStyle w:val="ListBullet"/>
      </w:pPr>
      <w:r>
        <w:t>prior to the University accepting the monitoring system</w:t>
      </w:r>
      <w:r w:rsidR="009D3632">
        <w:t>;</w:t>
      </w:r>
    </w:p>
    <w:p w14:paraId="4E55E351" w14:textId="60994C15" w:rsidR="00B62FF7" w:rsidRDefault="00B62FF7" w:rsidP="00B62FF7">
      <w:pPr>
        <w:pStyle w:val="ListBullet"/>
      </w:pPr>
      <w:r>
        <w:t>after replacement of the gas sensor/detector cell</w:t>
      </w:r>
      <w:r w:rsidR="009D3632">
        <w:t>;</w:t>
      </w:r>
      <w:r>
        <w:t xml:space="preserve"> and </w:t>
      </w:r>
    </w:p>
    <w:p w14:paraId="4FFE6F05" w14:textId="7408A31C" w:rsidR="00B62FF7" w:rsidRDefault="00B62FF7" w:rsidP="00B62FF7">
      <w:pPr>
        <w:pStyle w:val="ListBullet"/>
      </w:pPr>
      <w:r>
        <w:t>annually, as a minimum</w:t>
      </w:r>
      <w:r w:rsidR="009D3632">
        <w:t>;</w:t>
      </w:r>
      <w:r>
        <w:t xml:space="preserve"> or </w:t>
      </w:r>
    </w:p>
    <w:p w14:paraId="6EF5EF6D" w14:textId="77777777" w:rsidR="00B62FF7" w:rsidRDefault="00B62FF7" w:rsidP="00B62FF7">
      <w:pPr>
        <w:pStyle w:val="ListBullet"/>
      </w:pPr>
      <w:r>
        <w:t>at a calibration frequency determined by the manufacturer/supplier.</w:t>
      </w:r>
    </w:p>
    <w:p w14:paraId="6BEF15EA" w14:textId="04ADC5D5" w:rsidR="00B62FF7" w:rsidRDefault="00B62FF7" w:rsidP="00B62FF7">
      <w:pPr>
        <w:pStyle w:val="ListNumber"/>
      </w:pPr>
      <w:r>
        <w:t>In some monitoring systems (e.g. for oxygen), a simple air challenge can be used to determine proper function. Mo</w:t>
      </w:r>
      <w:r w:rsidR="001517AA">
        <w:t xml:space="preserve">nthly detector challenges and six </w:t>
      </w:r>
      <w:r>
        <w:t>monthly service intervals should also be considered.</w:t>
      </w:r>
    </w:p>
    <w:p w14:paraId="4E28B2CF" w14:textId="77777777" w:rsidR="00B62FF7" w:rsidRDefault="00B62FF7" w:rsidP="00B62FF7">
      <w:pPr>
        <w:pStyle w:val="Heading3"/>
      </w:pPr>
      <w:r>
        <w:lastRenderedPageBreak/>
        <w:t>Maintenance</w:t>
      </w:r>
    </w:p>
    <w:p w14:paraId="0A609255" w14:textId="77777777" w:rsidR="00B62FF7" w:rsidRDefault="00B62FF7" w:rsidP="00B62FF7">
      <w:pPr>
        <w:pStyle w:val="ListNumber"/>
      </w:pPr>
      <w:r>
        <w:t>A gas monitoring system must be maintained in line with the manufacturer's requirements.</w:t>
      </w:r>
    </w:p>
    <w:p w14:paraId="35DA8645" w14:textId="77777777" w:rsidR="00B62FF7" w:rsidRDefault="00B62FF7" w:rsidP="00B62FF7">
      <w:pPr>
        <w:pStyle w:val="Heading3"/>
      </w:pPr>
      <w:r>
        <w:t>Documentation</w:t>
      </w:r>
    </w:p>
    <w:p w14:paraId="1B5DD22C" w14:textId="77777777" w:rsidR="00B62FF7" w:rsidRDefault="00B62FF7" w:rsidP="00B62FF7">
      <w:pPr>
        <w:pStyle w:val="ListNumber"/>
      </w:pPr>
      <w:r>
        <w:t>The installation of a gas monitoring system must be accompanied by:</w:t>
      </w:r>
    </w:p>
    <w:p w14:paraId="795491EF" w14:textId="11F466F1" w:rsidR="00B62FF7" w:rsidRDefault="009D3632" w:rsidP="00B62FF7">
      <w:pPr>
        <w:pStyle w:val="ListBullet"/>
      </w:pPr>
      <w:r>
        <w:t>d</w:t>
      </w:r>
      <w:r w:rsidR="00B62FF7">
        <w:t>esign specifications and objectives</w:t>
      </w:r>
      <w:r>
        <w:t>;</w:t>
      </w:r>
    </w:p>
    <w:p w14:paraId="3C6F879E" w14:textId="60FE534D" w:rsidR="00B62FF7" w:rsidRDefault="009D3632" w:rsidP="00B62FF7">
      <w:pPr>
        <w:pStyle w:val="ListBullet"/>
      </w:pPr>
      <w:r>
        <w:t>o</w:t>
      </w:r>
      <w:r w:rsidR="00B62FF7">
        <w:t>perating instructions</w:t>
      </w:r>
      <w:r>
        <w:t>;</w:t>
      </w:r>
    </w:p>
    <w:p w14:paraId="1DB293BD" w14:textId="6E9846B7" w:rsidR="00B62FF7" w:rsidRDefault="009D3632" w:rsidP="00B62FF7">
      <w:pPr>
        <w:pStyle w:val="ListBullet"/>
      </w:pPr>
      <w:r>
        <w:t>m</w:t>
      </w:r>
      <w:r w:rsidR="00B62FF7">
        <w:t>aintenance instructions and schedule</w:t>
      </w:r>
      <w:r w:rsidR="0031504E">
        <w:t xml:space="preserve"> (and any previous maintenance records if applicable)</w:t>
      </w:r>
      <w:r>
        <w:t>;</w:t>
      </w:r>
    </w:p>
    <w:p w14:paraId="66DA7D3E" w14:textId="745D5A6B" w:rsidR="00B62FF7" w:rsidRDefault="009D3632" w:rsidP="00B62FF7">
      <w:pPr>
        <w:pStyle w:val="ListBullet"/>
      </w:pPr>
      <w:r>
        <w:t>s</w:t>
      </w:r>
      <w:r w:rsidR="00B62FF7">
        <w:t>tandard gas system alarm response procedure(s)</w:t>
      </w:r>
      <w:r>
        <w:t>;</w:t>
      </w:r>
    </w:p>
    <w:p w14:paraId="6703AD94" w14:textId="3200419D" w:rsidR="00B62FF7" w:rsidRDefault="009D3632" w:rsidP="00B62FF7">
      <w:pPr>
        <w:pStyle w:val="ListBullet"/>
      </w:pPr>
      <w:r>
        <w:t>d</w:t>
      </w:r>
      <w:r w:rsidR="00B62FF7">
        <w:t>ocumented actions in the event of another building emergency (e.g. nearby fire)</w:t>
      </w:r>
      <w:r>
        <w:t>;</w:t>
      </w:r>
      <w:r w:rsidR="00B62FF7">
        <w:t xml:space="preserve"> </w:t>
      </w:r>
    </w:p>
    <w:p w14:paraId="132702DA" w14:textId="4E487262" w:rsidR="00B62FF7" w:rsidRDefault="009D3632" w:rsidP="00B62FF7">
      <w:pPr>
        <w:pStyle w:val="ListBullet"/>
      </w:pPr>
      <w:r>
        <w:t>a</w:t>
      </w:r>
      <w:r w:rsidR="00B62FF7">
        <w:t xml:space="preserve"> list of local contact personnel</w:t>
      </w:r>
      <w:r>
        <w:t>;</w:t>
      </w:r>
    </w:p>
    <w:p w14:paraId="5AA510E1" w14:textId="0DFC34BD" w:rsidR="00B62FF7" w:rsidRDefault="009D3632" w:rsidP="00B62FF7">
      <w:pPr>
        <w:pStyle w:val="ListBullet"/>
      </w:pPr>
      <w:r>
        <w:t>d</w:t>
      </w:r>
      <w:r w:rsidR="00B62FF7">
        <w:t>etails of people/companies able to conduct calibration</w:t>
      </w:r>
      <w:r>
        <w:t>;</w:t>
      </w:r>
      <w:r w:rsidR="00B62FF7">
        <w:t xml:space="preserve"> and </w:t>
      </w:r>
    </w:p>
    <w:p w14:paraId="09855D9C" w14:textId="0CF2D70B" w:rsidR="0031504E" w:rsidRDefault="009D3632" w:rsidP="00B62FF7">
      <w:pPr>
        <w:pStyle w:val="ListBullet"/>
      </w:pPr>
      <w:r>
        <w:t>s</w:t>
      </w:r>
      <w:r w:rsidR="00B62FF7">
        <w:t>ignage near/on the gas sensor units, display panel, audible/visual alarms (etc. as appropriate)</w:t>
      </w:r>
      <w:r w:rsidR="0031504E">
        <w:t>.</w:t>
      </w:r>
    </w:p>
    <w:p w14:paraId="257081E0" w14:textId="77777777" w:rsidR="00B62FF7" w:rsidRDefault="00B62FF7" w:rsidP="00B62FF7">
      <w:pPr>
        <w:pStyle w:val="ListNumber"/>
      </w:pPr>
      <w:r>
        <w:t>Information and awareness training about the monitoring system is required for all users of the gas/process system.</w:t>
      </w:r>
    </w:p>
    <w:p w14:paraId="683328BE" w14:textId="77777777" w:rsidR="00B62FF7" w:rsidRDefault="00B62FF7" w:rsidP="00B62FF7">
      <w:r>
        <w:t xml:space="preserve"> </w:t>
      </w:r>
    </w:p>
    <w:p w14:paraId="0DAEEDF9" w14:textId="01D2078E" w:rsidR="00B62FF7" w:rsidRPr="00B62FF7" w:rsidRDefault="00B62FF7" w:rsidP="00872E38">
      <w:r w:rsidRPr="00B62FF7">
        <w:t>Table 1:</w:t>
      </w:r>
      <w:r>
        <w:t xml:space="preserve"> Typical </w:t>
      </w:r>
      <w:r w:rsidR="00BC31C2">
        <w:t>g</w:t>
      </w:r>
      <w:r>
        <w:t xml:space="preserve">as </w:t>
      </w:r>
      <w:r w:rsidR="00BC31C2">
        <w:t>s</w:t>
      </w:r>
      <w:r>
        <w:t xml:space="preserve">ensor </w:t>
      </w:r>
      <w:r w:rsidR="00BC31C2">
        <w:t>r</w:t>
      </w:r>
      <w:r>
        <w:t>equirements</w:t>
      </w:r>
    </w:p>
    <w:tbl>
      <w:tblPr>
        <w:tblStyle w:val="ANUrowcolumnheader"/>
        <w:tblW w:w="5000" w:type="pct"/>
        <w:tblLayout w:type="fixed"/>
        <w:tblLook w:val="04A0" w:firstRow="1" w:lastRow="0" w:firstColumn="1" w:lastColumn="0" w:noHBand="0" w:noVBand="1"/>
      </w:tblPr>
      <w:tblGrid>
        <w:gridCol w:w="1807"/>
        <w:gridCol w:w="1307"/>
        <w:gridCol w:w="1700"/>
        <w:gridCol w:w="1277"/>
        <w:gridCol w:w="1702"/>
        <w:gridCol w:w="1835"/>
      </w:tblGrid>
      <w:tr w:rsidR="00872E38" w:rsidRPr="0094599B" w14:paraId="300AC7EF" w14:textId="77777777" w:rsidTr="000F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shd w:val="clear" w:color="auto" w:fill="F6EEDE"/>
            <w:hideMark/>
          </w:tcPr>
          <w:p w14:paraId="0AEC20FC" w14:textId="77777777" w:rsidR="00B62FF7" w:rsidRPr="00872E38" w:rsidRDefault="00B62FF7" w:rsidP="001247DD">
            <w:pPr>
              <w:pStyle w:val="ANUPolicyStatement"/>
              <w:ind w:left="0"/>
              <w:rPr>
                <w:sz w:val="24"/>
                <w:szCs w:val="24"/>
                <w:lang w:val="en-AU"/>
              </w:rPr>
            </w:pPr>
            <w:r w:rsidRPr="00872E38">
              <w:rPr>
                <w:bCs/>
                <w:sz w:val="24"/>
                <w:szCs w:val="24"/>
                <w:lang w:val="en-AU"/>
              </w:rPr>
              <w:t xml:space="preserve">Gas type </w:t>
            </w:r>
            <w:r w:rsidRPr="00872E38">
              <w:rPr>
                <w:bCs/>
                <w:sz w:val="24"/>
                <w:szCs w:val="24"/>
                <w:lang w:val="en-AU"/>
              </w:rPr>
              <w:br/>
            </w:r>
            <w:r w:rsidRPr="00872E38">
              <w:rPr>
                <w:sz w:val="24"/>
                <w:szCs w:val="24"/>
                <w:lang w:val="en-AU"/>
              </w:rPr>
              <w:t>(Dangerous Goods Class)</w:t>
            </w:r>
          </w:p>
        </w:tc>
        <w:tc>
          <w:tcPr>
            <w:tcW w:w="679" w:type="pct"/>
            <w:shd w:val="clear" w:color="auto" w:fill="F6EEDE"/>
            <w:hideMark/>
          </w:tcPr>
          <w:p w14:paraId="1FBA0784" w14:textId="77777777" w:rsidR="00B62FF7" w:rsidRPr="00872E38" w:rsidRDefault="00B62FF7" w:rsidP="001247DD">
            <w:pPr>
              <w:pStyle w:val="ANUPolicyStatemen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bCs/>
                <w:sz w:val="24"/>
                <w:szCs w:val="24"/>
                <w:lang w:val="en-AU"/>
              </w:rPr>
              <w:t>Gas system example</w:t>
            </w:r>
          </w:p>
        </w:tc>
        <w:tc>
          <w:tcPr>
            <w:tcW w:w="883" w:type="pct"/>
            <w:shd w:val="clear" w:color="auto" w:fill="F6EEDE"/>
            <w:hideMark/>
          </w:tcPr>
          <w:p w14:paraId="3EBF0D9F" w14:textId="77777777" w:rsidR="00B62FF7" w:rsidRPr="00872E38" w:rsidRDefault="00B62FF7" w:rsidP="001247DD">
            <w:pPr>
              <w:pStyle w:val="ANUPolicyStatemen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bCs/>
                <w:sz w:val="24"/>
                <w:szCs w:val="24"/>
                <w:lang w:val="en-AU"/>
              </w:rPr>
              <w:t>Monitoring</w:t>
            </w:r>
          </w:p>
        </w:tc>
        <w:tc>
          <w:tcPr>
            <w:tcW w:w="663" w:type="pct"/>
            <w:shd w:val="clear" w:color="auto" w:fill="F6EEDE"/>
            <w:hideMark/>
          </w:tcPr>
          <w:p w14:paraId="427A6F38" w14:textId="77777777" w:rsidR="00B62FF7" w:rsidRPr="00872E38" w:rsidRDefault="00B62FF7" w:rsidP="001247DD">
            <w:pPr>
              <w:pStyle w:val="ANUPolicyStatemen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bCs/>
                <w:sz w:val="24"/>
                <w:szCs w:val="24"/>
                <w:lang w:val="en-AU"/>
              </w:rPr>
              <w:t>Sensor location</w:t>
            </w:r>
          </w:p>
        </w:tc>
        <w:tc>
          <w:tcPr>
            <w:tcW w:w="884" w:type="pct"/>
            <w:shd w:val="clear" w:color="auto" w:fill="F6EEDE"/>
            <w:hideMark/>
          </w:tcPr>
          <w:p w14:paraId="6E0984BE" w14:textId="77777777" w:rsidR="00B62FF7" w:rsidRPr="00872E38" w:rsidRDefault="00B62FF7" w:rsidP="001247DD">
            <w:pPr>
              <w:pStyle w:val="ANUPolicyStatemen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bCs/>
                <w:sz w:val="24"/>
                <w:szCs w:val="24"/>
                <w:lang w:val="en-AU"/>
              </w:rPr>
              <w:t>Alarm set points</w:t>
            </w:r>
          </w:p>
          <w:p w14:paraId="7E365F36" w14:textId="77777777" w:rsidR="00B62FF7" w:rsidRPr="00872E38" w:rsidRDefault="00B62FF7" w:rsidP="001247DD">
            <w:pPr>
              <w:pStyle w:val="ANUPolicyStatemen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(LA - low alarm, </w:t>
            </w:r>
            <w:r w:rsidRPr="00872E38">
              <w:rPr>
                <w:sz w:val="24"/>
                <w:szCs w:val="24"/>
                <w:lang w:val="en-AU"/>
              </w:rPr>
              <w:br/>
              <w:t>UA - upper alarm)</w:t>
            </w:r>
          </w:p>
        </w:tc>
        <w:tc>
          <w:tcPr>
            <w:tcW w:w="953" w:type="pct"/>
            <w:shd w:val="clear" w:color="auto" w:fill="F6EEDE"/>
            <w:hideMark/>
          </w:tcPr>
          <w:p w14:paraId="06EF93EE" w14:textId="77777777" w:rsidR="00B62FF7" w:rsidRPr="00872E38" w:rsidRDefault="00B62FF7" w:rsidP="001247DD">
            <w:pPr>
              <w:pStyle w:val="ANUPolicyStatemen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bCs/>
                <w:sz w:val="24"/>
                <w:szCs w:val="24"/>
                <w:lang w:val="en-AU"/>
              </w:rPr>
              <w:t>Alarm action</w:t>
            </w:r>
          </w:p>
        </w:tc>
      </w:tr>
      <w:tr w:rsidR="00B62FF7" w:rsidRPr="0094599B" w14:paraId="6674C012" w14:textId="77777777" w:rsidTr="000F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shd w:val="clear" w:color="auto" w:fill="F6EEDE"/>
            <w:hideMark/>
          </w:tcPr>
          <w:p w14:paraId="28A4F7B0" w14:textId="77777777" w:rsidR="00B62FF7" w:rsidRPr="00872E38" w:rsidRDefault="00B62FF7" w:rsidP="001247DD">
            <w:pPr>
              <w:pStyle w:val="ANUPolicyStatement"/>
              <w:ind w:left="0"/>
              <w:rPr>
                <w:sz w:val="24"/>
                <w:szCs w:val="24"/>
                <w:lang w:val="en-AU"/>
              </w:rPr>
            </w:pPr>
            <w:r w:rsidRPr="00872E38">
              <w:rPr>
                <w:bCs/>
                <w:sz w:val="24"/>
                <w:szCs w:val="24"/>
                <w:lang w:val="en-AU"/>
              </w:rPr>
              <w:t>2.1 - Flammable (or explosive) gases</w:t>
            </w:r>
          </w:p>
        </w:tc>
        <w:tc>
          <w:tcPr>
            <w:tcW w:w="679" w:type="pct"/>
            <w:hideMark/>
          </w:tcPr>
          <w:p w14:paraId="5BBEE8F0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Acetylene</w:t>
            </w:r>
          </w:p>
          <w:p w14:paraId="45FB1C66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LPG</w:t>
            </w:r>
          </w:p>
        </w:tc>
        <w:tc>
          <w:tcPr>
            <w:tcW w:w="883" w:type="pct"/>
            <w:hideMark/>
          </w:tcPr>
          <w:p w14:paraId="4D7D4D65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Process</w:t>
            </w:r>
          </w:p>
          <w:p w14:paraId="5B0EFB73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  <w:p w14:paraId="68D149DC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Work Environment</w:t>
            </w:r>
          </w:p>
        </w:tc>
        <w:tc>
          <w:tcPr>
            <w:tcW w:w="663" w:type="pct"/>
            <w:hideMark/>
          </w:tcPr>
          <w:p w14:paraId="400B6A05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Exhaust stream</w:t>
            </w:r>
          </w:p>
          <w:p w14:paraId="10EF0747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  <w:p w14:paraId="3CF6F0E1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1.5 m of floor</w:t>
            </w:r>
          </w:p>
        </w:tc>
        <w:tc>
          <w:tcPr>
            <w:tcW w:w="884" w:type="pct"/>
            <w:hideMark/>
          </w:tcPr>
          <w:p w14:paraId="6883C984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LA - 10% LEL</w:t>
            </w:r>
          </w:p>
          <w:p w14:paraId="22D6CEBB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UA - 30% LEL</w:t>
            </w:r>
          </w:p>
        </w:tc>
        <w:tc>
          <w:tcPr>
            <w:tcW w:w="953" w:type="pct"/>
            <w:hideMark/>
          </w:tcPr>
          <w:p w14:paraId="25C5A67D" w14:textId="77777777" w:rsidR="00B62FF7" w:rsidRPr="00872E38" w:rsidRDefault="00B62FF7" w:rsidP="00B62FF7">
            <w:pPr>
              <w:pStyle w:val="ANUPolicyStatement"/>
              <w:numPr>
                <w:ilvl w:val="0"/>
                <w:numId w:val="19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Warning </w:t>
            </w:r>
          </w:p>
          <w:p w14:paraId="2A90D8FC" w14:textId="77777777" w:rsidR="00B62FF7" w:rsidRPr="00872E38" w:rsidRDefault="00B62FF7" w:rsidP="00B62FF7">
            <w:pPr>
              <w:pStyle w:val="ANUPolicyStatement"/>
              <w:numPr>
                <w:ilvl w:val="0"/>
                <w:numId w:val="19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Increase exhaust ventilation </w:t>
            </w:r>
          </w:p>
          <w:p w14:paraId="11E111A5" w14:textId="77777777" w:rsidR="00B62FF7" w:rsidRPr="00872E38" w:rsidRDefault="00B62FF7" w:rsidP="00B62FF7">
            <w:pPr>
              <w:pStyle w:val="ANUPolicyStatement"/>
              <w:numPr>
                <w:ilvl w:val="0"/>
                <w:numId w:val="19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Shut-off supply gas </w:t>
            </w:r>
          </w:p>
          <w:p w14:paraId="026E8F1B" w14:textId="77777777" w:rsidR="00B62FF7" w:rsidRPr="00872E38" w:rsidRDefault="00B62FF7" w:rsidP="00B62FF7">
            <w:pPr>
              <w:pStyle w:val="ANUPolicyStatement"/>
              <w:numPr>
                <w:ilvl w:val="0"/>
                <w:numId w:val="19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Evacuate area at UA</w:t>
            </w:r>
          </w:p>
        </w:tc>
      </w:tr>
      <w:tr w:rsidR="00B62FF7" w:rsidRPr="0094599B" w14:paraId="7A4F362C" w14:textId="77777777" w:rsidTr="000F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shd w:val="clear" w:color="auto" w:fill="F6EEDE"/>
            <w:hideMark/>
          </w:tcPr>
          <w:p w14:paraId="27F95466" w14:textId="77777777" w:rsidR="00B62FF7" w:rsidRPr="00872E38" w:rsidRDefault="00B62FF7" w:rsidP="001247DD">
            <w:pPr>
              <w:pStyle w:val="ANUPolicyStatement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</w:tc>
        <w:tc>
          <w:tcPr>
            <w:tcW w:w="679" w:type="pct"/>
            <w:hideMark/>
          </w:tcPr>
          <w:p w14:paraId="2327A014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Hydrogen</w:t>
            </w:r>
          </w:p>
        </w:tc>
        <w:tc>
          <w:tcPr>
            <w:tcW w:w="883" w:type="pct"/>
            <w:hideMark/>
          </w:tcPr>
          <w:p w14:paraId="4234DCA2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Process</w:t>
            </w:r>
          </w:p>
          <w:p w14:paraId="010103A1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  <w:p w14:paraId="1EF4E3A0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lastRenderedPageBreak/>
              <w:t>Work Environment</w:t>
            </w:r>
          </w:p>
        </w:tc>
        <w:tc>
          <w:tcPr>
            <w:tcW w:w="663" w:type="pct"/>
            <w:hideMark/>
          </w:tcPr>
          <w:p w14:paraId="33CD2414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lastRenderedPageBreak/>
              <w:t>Exhaust stream</w:t>
            </w:r>
          </w:p>
          <w:p w14:paraId="5FEDE606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  <w:p w14:paraId="449E52B4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lastRenderedPageBreak/>
              <w:t>At least 1.5m off the floor to ceiling</w:t>
            </w:r>
          </w:p>
        </w:tc>
        <w:tc>
          <w:tcPr>
            <w:tcW w:w="884" w:type="pct"/>
            <w:hideMark/>
          </w:tcPr>
          <w:p w14:paraId="08D78F5F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lastRenderedPageBreak/>
              <w:t>LA - 10% LEL</w:t>
            </w:r>
          </w:p>
          <w:p w14:paraId="50A3EA08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UA - 20% LEL</w:t>
            </w:r>
          </w:p>
        </w:tc>
        <w:tc>
          <w:tcPr>
            <w:tcW w:w="953" w:type="pct"/>
            <w:hideMark/>
          </w:tcPr>
          <w:p w14:paraId="3B56096D" w14:textId="77777777" w:rsidR="00B62FF7" w:rsidRPr="00872E38" w:rsidRDefault="00B62FF7" w:rsidP="00B62FF7">
            <w:pPr>
              <w:pStyle w:val="ANUPolicyStatement"/>
              <w:numPr>
                <w:ilvl w:val="0"/>
                <w:numId w:val="20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Warning </w:t>
            </w:r>
          </w:p>
          <w:p w14:paraId="6EB4703D" w14:textId="77777777" w:rsidR="00B62FF7" w:rsidRPr="00872E38" w:rsidRDefault="00B62FF7" w:rsidP="00B62FF7">
            <w:pPr>
              <w:pStyle w:val="ANUPolicyStatement"/>
              <w:numPr>
                <w:ilvl w:val="0"/>
                <w:numId w:val="20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lastRenderedPageBreak/>
              <w:t xml:space="preserve">Increase exhaust ventilation </w:t>
            </w:r>
          </w:p>
          <w:p w14:paraId="1B42C59B" w14:textId="77777777" w:rsidR="00B62FF7" w:rsidRPr="00872E38" w:rsidRDefault="00B62FF7" w:rsidP="00B62FF7">
            <w:pPr>
              <w:pStyle w:val="ANUPolicyStatement"/>
              <w:numPr>
                <w:ilvl w:val="0"/>
                <w:numId w:val="20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Shut-off supply gas </w:t>
            </w:r>
          </w:p>
          <w:p w14:paraId="6BA37F15" w14:textId="77777777" w:rsidR="00B62FF7" w:rsidRPr="00872E38" w:rsidRDefault="00B62FF7" w:rsidP="00B62FF7">
            <w:pPr>
              <w:pStyle w:val="ANUPolicyStatement"/>
              <w:numPr>
                <w:ilvl w:val="0"/>
                <w:numId w:val="20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Evacuate area at UA</w:t>
            </w:r>
          </w:p>
        </w:tc>
      </w:tr>
      <w:tr w:rsidR="00B62FF7" w:rsidRPr="0094599B" w14:paraId="423DA008" w14:textId="77777777" w:rsidTr="000F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shd w:val="clear" w:color="auto" w:fill="F6EEDE"/>
            <w:hideMark/>
          </w:tcPr>
          <w:p w14:paraId="4BDE2567" w14:textId="77777777" w:rsidR="00B62FF7" w:rsidRPr="00872E38" w:rsidRDefault="00B62FF7" w:rsidP="001247DD">
            <w:pPr>
              <w:pStyle w:val="ANUPolicyStatement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lastRenderedPageBreak/>
              <w:t> </w:t>
            </w:r>
          </w:p>
        </w:tc>
        <w:tc>
          <w:tcPr>
            <w:tcW w:w="679" w:type="pct"/>
            <w:hideMark/>
          </w:tcPr>
          <w:p w14:paraId="244DBE28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LPG</w:t>
            </w:r>
          </w:p>
        </w:tc>
        <w:tc>
          <w:tcPr>
            <w:tcW w:w="883" w:type="pct"/>
            <w:hideMark/>
          </w:tcPr>
          <w:p w14:paraId="5584C0EC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Work Environment - gas water or gas heaters</w:t>
            </w:r>
          </w:p>
        </w:tc>
        <w:tc>
          <w:tcPr>
            <w:tcW w:w="663" w:type="pct"/>
            <w:hideMark/>
          </w:tcPr>
          <w:p w14:paraId="60EA0702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0.4 m off floor for LPG detection.  Alternate locations are possible when hot gases may be involved.</w:t>
            </w:r>
          </w:p>
        </w:tc>
        <w:tc>
          <w:tcPr>
            <w:tcW w:w="884" w:type="pct"/>
            <w:hideMark/>
          </w:tcPr>
          <w:p w14:paraId="0D1BB970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LA - 10% LEL</w:t>
            </w:r>
          </w:p>
          <w:p w14:paraId="7BA5ABC4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UA - 30% LEL</w:t>
            </w:r>
          </w:p>
        </w:tc>
        <w:tc>
          <w:tcPr>
            <w:tcW w:w="953" w:type="pct"/>
            <w:hideMark/>
          </w:tcPr>
          <w:p w14:paraId="1DBB733E" w14:textId="77777777" w:rsidR="00B62FF7" w:rsidRPr="00872E38" w:rsidRDefault="00B62FF7" w:rsidP="00B62FF7">
            <w:pPr>
              <w:pStyle w:val="ANUPolicyStatement"/>
              <w:numPr>
                <w:ilvl w:val="0"/>
                <w:numId w:val="21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Warning </w:t>
            </w:r>
          </w:p>
          <w:p w14:paraId="3B40E0E0" w14:textId="77777777" w:rsidR="00B62FF7" w:rsidRPr="00872E38" w:rsidRDefault="00B62FF7" w:rsidP="00B62FF7">
            <w:pPr>
              <w:pStyle w:val="ANUPolicyStatement"/>
              <w:numPr>
                <w:ilvl w:val="0"/>
                <w:numId w:val="21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Increase exhaust ventilation </w:t>
            </w:r>
          </w:p>
          <w:p w14:paraId="42FFB290" w14:textId="77777777" w:rsidR="00B62FF7" w:rsidRPr="00872E38" w:rsidRDefault="00B62FF7" w:rsidP="00B62FF7">
            <w:pPr>
              <w:pStyle w:val="ANUPolicyStatement"/>
              <w:numPr>
                <w:ilvl w:val="0"/>
                <w:numId w:val="21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Shut-off supply gas </w:t>
            </w:r>
          </w:p>
          <w:p w14:paraId="66721933" w14:textId="77777777" w:rsidR="00B62FF7" w:rsidRPr="00872E38" w:rsidRDefault="00B62FF7" w:rsidP="00B62FF7">
            <w:pPr>
              <w:pStyle w:val="ANUPolicyStatement"/>
              <w:numPr>
                <w:ilvl w:val="0"/>
                <w:numId w:val="21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Evacuate area at UA</w:t>
            </w:r>
          </w:p>
        </w:tc>
      </w:tr>
      <w:tr w:rsidR="00B62FF7" w:rsidRPr="0094599B" w14:paraId="416CAC33" w14:textId="77777777" w:rsidTr="000F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shd w:val="clear" w:color="auto" w:fill="F6EEDE"/>
            <w:hideMark/>
          </w:tcPr>
          <w:p w14:paraId="513118F7" w14:textId="77777777" w:rsidR="00B62FF7" w:rsidRPr="00872E38" w:rsidRDefault="00B62FF7" w:rsidP="00872E38">
            <w:pPr>
              <w:pStyle w:val="ANUPolicyStatement"/>
              <w:ind w:left="0"/>
              <w:rPr>
                <w:sz w:val="24"/>
                <w:szCs w:val="24"/>
                <w:lang w:val="fr-FR"/>
              </w:rPr>
            </w:pPr>
            <w:r w:rsidRPr="00872E38">
              <w:rPr>
                <w:bCs/>
                <w:sz w:val="24"/>
                <w:szCs w:val="24"/>
                <w:lang w:val="fr-FR"/>
              </w:rPr>
              <w:t>2.2 - Non-toxic, non-flammable gases</w:t>
            </w:r>
          </w:p>
        </w:tc>
        <w:tc>
          <w:tcPr>
            <w:tcW w:w="679" w:type="pct"/>
            <w:hideMark/>
          </w:tcPr>
          <w:p w14:paraId="63978F33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Nitrogen, Argon</w:t>
            </w:r>
          </w:p>
        </w:tc>
        <w:tc>
          <w:tcPr>
            <w:tcW w:w="883" w:type="pct"/>
            <w:hideMark/>
          </w:tcPr>
          <w:p w14:paraId="485D7EB4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Work Environment - Oxygen depletion in the work environment.</w:t>
            </w:r>
          </w:p>
          <w:p w14:paraId="45D29DCD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Oxygen monitoring.</w:t>
            </w:r>
          </w:p>
        </w:tc>
        <w:tc>
          <w:tcPr>
            <w:tcW w:w="663" w:type="pct"/>
            <w:hideMark/>
          </w:tcPr>
          <w:p w14:paraId="3BFC9638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1.5 m off floor</w:t>
            </w:r>
          </w:p>
        </w:tc>
        <w:tc>
          <w:tcPr>
            <w:tcW w:w="884" w:type="pct"/>
            <w:hideMark/>
          </w:tcPr>
          <w:p w14:paraId="641BA687" w14:textId="633D5A42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LA - 19.5% O</w:t>
            </w:r>
            <w:r w:rsidR="00106F6D">
              <w:rPr>
                <w:rFonts w:ascii="ZWAdobeF" w:hAnsi="ZWAdobeF" w:cs="ZWAdobeF"/>
                <w:sz w:val="2"/>
                <w:szCs w:val="2"/>
                <w:lang w:val="en-AU"/>
              </w:rPr>
              <w:t>R</w:t>
            </w:r>
            <w:r w:rsidRPr="00872E38">
              <w:rPr>
                <w:sz w:val="24"/>
                <w:szCs w:val="24"/>
                <w:vertAlign w:val="subscript"/>
                <w:lang w:val="en-AU"/>
              </w:rPr>
              <w:t>2</w:t>
            </w:r>
          </w:p>
          <w:p w14:paraId="13D06E20" w14:textId="43BC8BD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UA - 23% O</w:t>
            </w:r>
            <w:r w:rsidR="00106F6D">
              <w:rPr>
                <w:rFonts w:ascii="ZWAdobeF" w:hAnsi="ZWAdobeF" w:cs="ZWAdobeF"/>
                <w:sz w:val="2"/>
                <w:szCs w:val="2"/>
                <w:lang w:val="en-AU"/>
              </w:rPr>
              <w:t>R</w:t>
            </w:r>
            <w:r w:rsidRPr="00872E38">
              <w:rPr>
                <w:sz w:val="24"/>
                <w:szCs w:val="24"/>
                <w:vertAlign w:val="subscript"/>
                <w:lang w:val="en-AU"/>
              </w:rPr>
              <w:t>2</w:t>
            </w:r>
          </w:p>
        </w:tc>
        <w:tc>
          <w:tcPr>
            <w:tcW w:w="953" w:type="pct"/>
            <w:hideMark/>
          </w:tcPr>
          <w:p w14:paraId="3E1D7660" w14:textId="77777777" w:rsidR="00B62FF7" w:rsidRPr="00872E38" w:rsidRDefault="00B62FF7" w:rsidP="00B62FF7">
            <w:pPr>
              <w:pStyle w:val="ANUPolicyStatement"/>
              <w:numPr>
                <w:ilvl w:val="0"/>
                <w:numId w:val="22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Warning </w:t>
            </w:r>
          </w:p>
          <w:p w14:paraId="0B5315EC" w14:textId="77777777" w:rsidR="00B62FF7" w:rsidRPr="00872E38" w:rsidRDefault="00B62FF7" w:rsidP="00B62FF7">
            <w:pPr>
              <w:pStyle w:val="ANUPolicyStatement"/>
              <w:numPr>
                <w:ilvl w:val="0"/>
                <w:numId w:val="22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Increase exhaust ventilation </w:t>
            </w:r>
          </w:p>
          <w:p w14:paraId="0D7CB86F" w14:textId="77777777" w:rsidR="00B62FF7" w:rsidRPr="00872E38" w:rsidRDefault="00B62FF7" w:rsidP="00B62FF7">
            <w:pPr>
              <w:pStyle w:val="ANUPolicyStatement"/>
              <w:numPr>
                <w:ilvl w:val="0"/>
                <w:numId w:val="22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Shut-off supply gas </w:t>
            </w:r>
          </w:p>
          <w:p w14:paraId="04BC288F" w14:textId="77777777" w:rsidR="00B62FF7" w:rsidRPr="00872E38" w:rsidRDefault="00B62FF7" w:rsidP="00B62FF7">
            <w:pPr>
              <w:pStyle w:val="ANUPolicyStatement"/>
              <w:numPr>
                <w:ilvl w:val="0"/>
                <w:numId w:val="22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Evacuate area at LA or UA</w:t>
            </w:r>
          </w:p>
        </w:tc>
      </w:tr>
      <w:tr w:rsidR="00B62FF7" w:rsidRPr="0094599B" w14:paraId="44F2917C" w14:textId="77777777" w:rsidTr="000F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shd w:val="clear" w:color="auto" w:fill="F6EEDE"/>
            <w:hideMark/>
          </w:tcPr>
          <w:p w14:paraId="0116E77D" w14:textId="77777777" w:rsidR="00B62FF7" w:rsidRPr="00872E38" w:rsidRDefault="00B62FF7" w:rsidP="001247DD">
            <w:pPr>
              <w:pStyle w:val="ANUPolicyStatement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</w:tc>
        <w:tc>
          <w:tcPr>
            <w:tcW w:w="679" w:type="pct"/>
            <w:hideMark/>
          </w:tcPr>
          <w:p w14:paraId="66BB5A69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liquid nitrogen, cryogenic liquids</w:t>
            </w:r>
          </w:p>
        </w:tc>
        <w:tc>
          <w:tcPr>
            <w:tcW w:w="883" w:type="pct"/>
            <w:hideMark/>
          </w:tcPr>
          <w:p w14:paraId="3C884A3C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Work Environment - Oxygen depletion in the work environment.</w:t>
            </w:r>
          </w:p>
          <w:p w14:paraId="5394A7CD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Oxygen monitoring.</w:t>
            </w:r>
          </w:p>
        </w:tc>
        <w:tc>
          <w:tcPr>
            <w:tcW w:w="663" w:type="pct"/>
            <w:hideMark/>
          </w:tcPr>
          <w:p w14:paraId="08F652AC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0.4 m off floor</w:t>
            </w:r>
          </w:p>
        </w:tc>
        <w:tc>
          <w:tcPr>
            <w:tcW w:w="884" w:type="pct"/>
            <w:hideMark/>
          </w:tcPr>
          <w:p w14:paraId="6CCE32E0" w14:textId="334D863B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LA - 19.5% O</w:t>
            </w:r>
            <w:r w:rsidR="00106F6D">
              <w:rPr>
                <w:rFonts w:ascii="ZWAdobeF" w:hAnsi="ZWAdobeF" w:cs="ZWAdobeF"/>
                <w:sz w:val="2"/>
                <w:szCs w:val="2"/>
                <w:lang w:val="en-AU"/>
              </w:rPr>
              <w:t>R</w:t>
            </w:r>
            <w:r w:rsidRPr="00872E38">
              <w:rPr>
                <w:sz w:val="24"/>
                <w:szCs w:val="24"/>
                <w:vertAlign w:val="subscript"/>
                <w:lang w:val="en-AU"/>
              </w:rPr>
              <w:t>2</w:t>
            </w:r>
          </w:p>
          <w:p w14:paraId="3D82A387" w14:textId="40235814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UA - 23% O</w:t>
            </w:r>
            <w:r w:rsidR="00106F6D">
              <w:rPr>
                <w:rFonts w:ascii="ZWAdobeF" w:hAnsi="ZWAdobeF" w:cs="ZWAdobeF"/>
                <w:sz w:val="2"/>
                <w:szCs w:val="2"/>
                <w:lang w:val="en-AU"/>
              </w:rPr>
              <w:t>R</w:t>
            </w:r>
            <w:r w:rsidRPr="00872E38">
              <w:rPr>
                <w:sz w:val="24"/>
                <w:szCs w:val="24"/>
                <w:vertAlign w:val="subscript"/>
                <w:lang w:val="en-AU"/>
              </w:rPr>
              <w:t>2</w:t>
            </w:r>
          </w:p>
        </w:tc>
        <w:tc>
          <w:tcPr>
            <w:tcW w:w="953" w:type="pct"/>
            <w:hideMark/>
          </w:tcPr>
          <w:p w14:paraId="57C8381A" w14:textId="77777777" w:rsidR="00B62FF7" w:rsidRPr="00872E38" w:rsidRDefault="00B62FF7" w:rsidP="00B62FF7">
            <w:pPr>
              <w:pStyle w:val="ANUPolicyStatement"/>
              <w:numPr>
                <w:ilvl w:val="0"/>
                <w:numId w:val="23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Warning </w:t>
            </w:r>
          </w:p>
          <w:p w14:paraId="371D10EB" w14:textId="77777777" w:rsidR="00B62FF7" w:rsidRPr="00872E38" w:rsidRDefault="00B62FF7" w:rsidP="00B62FF7">
            <w:pPr>
              <w:pStyle w:val="ANUPolicyStatement"/>
              <w:numPr>
                <w:ilvl w:val="0"/>
                <w:numId w:val="23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Increase exhaust ventilation </w:t>
            </w:r>
          </w:p>
          <w:p w14:paraId="711EC82E" w14:textId="77777777" w:rsidR="00B62FF7" w:rsidRPr="00872E38" w:rsidRDefault="00B62FF7" w:rsidP="00B62FF7">
            <w:pPr>
              <w:pStyle w:val="ANUPolicyStatement"/>
              <w:numPr>
                <w:ilvl w:val="0"/>
                <w:numId w:val="23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Evacuate area at LA or UA</w:t>
            </w:r>
          </w:p>
        </w:tc>
      </w:tr>
      <w:tr w:rsidR="00B62FF7" w:rsidRPr="0094599B" w14:paraId="2F160555" w14:textId="77777777" w:rsidTr="000F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shd w:val="clear" w:color="auto" w:fill="F6EEDE"/>
            <w:hideMark/>
          </w:tcPr>
          <w:p w14:paraId="28C416CB" w14:textId="77777777" w:rsidR="00B62FF7" w:rsidRPr="00872E38" w:rsidRDefault="00B62FF7" w:rsidP="00872E38">
            <w:pPr>
              <w:pStyle w:val="ANUPolicyStatement"/>
              <w:ind w:left="0"/>
              <w:rPr>
                <w:sz w:val="24"/>
                <w:szCs w:val="24"/>
                <w:lang w:val="en-AU"/>
              </w:rPr>
            </w:pPr>
            <w:r w:rsidRPr="00872E38">
              <w:rPr>
                <w:bCs/>
                <w:sz w:val="24"/>
                <w:szCs w:val="24"/>
                <w:lang w:val="en-AU"/>
              </w:rPr>
              <w:t>2.3 - Toxic gases</w:t>
            </w:r>
          </w:p>
        </w:tc>
        <w:tc>
          <w:tcPr>
            <w:tcW w:w="679" w:type="pct"/>
            <w:hideMark/>
          </w:tcPr>
          <w:p w14:paraId="05AB2DEF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Arsine, ammonia</w:t>
            </w:r>
          </w:p>
        </w:tc>
        <w:tc>
          <w:tcPr>
            <w:tcW w:w="883" w:type="pct"/>
            <w:hideMark/>
          </w:tcPr>
          <w:p w14:paraId="130DE88B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Process</w:t>
            </w:r>
          </w:p>
          <w:p w14:paraId="179ED140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  <w:p w14:paraId="42CE32EE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  <w:p w14:paraId="7B84B484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Work Environment</w:t>
            </w:r>
          </w:p>
        </w:tc>
        <w:tc>
          <w:tcPr>
            <w:tcW w:w="663" w:type="pct"/>
            <w:hideMark/>
          </w:tcPr>
          <w:p w14:paraId="2D0E26E9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Gas storage cabinet</w:t>
            </w:r>
          </w:p>
          <w:p w14:paraId="12F79555" w14:textId="5C73D849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Exhaust stream </w:t>
            </w:r>
            <w:r w:rsidR="00106F6D">
              <w:rPr>
                <w:rFonts w:ascii="ZWAdobeF" w:hAnsi="ZWAdobeF" w:cs="ZWAdobeF"/>
                <w:sz w:val="2"/>
                <w:szCs w:val="2"/>
                <w:lang w:val="en-AU"/>
              </w:rPr>
              <w:t>P</w:t>
            </w:r>
            <w:r w:rsidRPr="00872E38">
              <w:rPr>
                <w:sz w:val="24"/>
                <w:szCs w:val="24"/>
                <w:vertAlign w:val="superscript"/>
                <w:lang w:val="en-AU"/>
              </w:rPr>
              <w:t>1</w:t>
            </w:r>
          </w:p>
          <w:p w14:paraId="3F28ABCE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  <w:p w14:paraId="1653D415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Workspace</w:t>
            </w:r>
          </w:p>
        </w:tc>
        <w:tc>
          <w:tcPr>
            <w:tcW w:w="884" w:type="pct"/>
            <w:hideMark/>
          </w:tcPr>
          <w:p w14:paraId="28FBDFBB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Depends on the gas, exposure limits (TLV) and biological responses.</w:t>
            </w:r>
          </w:p>
          <w:p w14:paraId="61C2C1F4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LA - 10-30% of TLV, 8hr TLV or 10% peak TLV</w:t>
            </w:r>
          </w:p>
          <w:p w14:paraId="07979040" w14:textId="77777777" w:rsidR="00B62FF7" w:rsidRPr="00872E38" w:rsidRDefault="00B62FF7" w:rsidP="001247DD">
            <w:pPr>
              <w:pStyle w:val="ANUPolicyStatem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lastRenderedPageBreak/>
              <w:t>UA - 50-80% of TLV, or STEL, 20% peak</w:t>
            </w:r>
          </w:p>
        </w:tc>
        <w:tc>
          <w:tcPr>
            <w:tcW w:w="953" w:type="pct"/>
            <w:hideMark/>
          </w:tcPr>
          <w:p w14:paraId="5C859C39" w14:textId="77777777" w:rsidR="00B62FF7" w:rsidRPr="00872E38" w:rsidRDefault="00B62FF7" w:rsidP="00B62FF7">
            <w:pPr>
              <w:pStyle w:val="ANUPolicyStatement"/>
              <w:numPr>
                <w:ilvl w:val="0"/>
                <w:numId w:val="24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lastRenderedPageBreak/>
              <w:t xml:space="preserve">Warning </w:t>
            </w:r>
          </w:p>
          <w:p w14:paraId="0CC720A9" w14:textId="77777777" w:rsidR="00B62FF7" w:rsidRPr="00872E38" w:rsidRDefault="00B62FF7" w:rsidP="00B62FF7">
            <w:pPr>
              <w:pStyle w:val="ANUPolicyStatement"/>
              <w:numPr>
                <w:ilvl w:val="0"/>
                <w:numId w:val="24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Increase exhaust ventilation </w:t>
            </w:r>
          </w:p>
          <w:p w14:paraId="4E3CA0BA" w14:textId="77777777" w:rsidR="00B62FF7" w:rsidRPr="00872E38" w:rsidRDefault="00B62FF7" w:rsidP="00B62FF7">
            <w:pPr>
              <w:pStyle w:val="ANUPolicyStatement"/>
              <w:numPr>
                <w:ilvl w:val="0"/>
                <w:numId w:val="24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Shut-off supply gas </w:t>
            </w:r>
          </w:p>
          <w:p w14:paraId="06EED54B" w14:textId="77777777" w:rsidR="00B62FF7" w:rsidRPr="00872E38" w:rsidRDefault="00B62FF7" w:rsidP="00B62FF7">
            <w:pPr>
              <w:pStyle w:val="ANUPolicyStatement"/>
              <w:numPr>
                <w:ilvl w:val="0"/>
                <w:numId w:val="24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Evacuate area at UA </w:t>
            </w:r>
          </w:p>
          <w:p w14:paraId="137949EF" w14:textId="77777777" w:rsidR="00B62FF7" w:rsidRPr="00872E38" w:rsidRDefault="00B62FF7" w:rsidP="00B62FF7">
            <w:pPr>
              <w:pStyle w:val="ANUPolicyStatement"/>
              <w:numPr>
                <w:ilvl w:val="0"/>
                <w:numId w:val="24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Evacuate the building</w:t>
            </w:r>
          </w:p>
        </w:tc>
      </w:tr>
      <w:tr w:rsidR="00B62FF7" w:rsidRPr="0094599B" w14:paraId="57FDD072" w14:textId="77777777" w:rsidTr="000F4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shd w:val="clear" w:color="auto" w:fill="F6EEDE"/>
            <w:hideMark/>
          </w:tcPr>
          <w:p w14:paraId="7AD7477F" w14:textId="77777777" w:rsidR="00B62FF7" w:rsidRPr="00872E38" w:rsidRDefault="00B62FF7" w:rsidP="001247DD">
            <w:pPr>
              <w:pStyle w:val="ANUPolicyStatement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lastRenderedPageBreak/>
              <w:t> </w:t>
            </w:r>
          </w:p>
        </w:tc>
        <w:tc>
          <w:tcPr>
            <w:tcW w:w="679" w:type="pct"/>
            <w:hideMark/>
          </w:tcPr>
          <w:p w14:paraId="2FDEC721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</w:tc>
        <w:tc>
          <w:tcPr>
            <w:tcW w:w="883" w:type="pct"/>
            <w:hideMark/>
          </w:tcPr>
          <w:p w14:paraId="1089F75C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</w:tc>
        <w:tc>
          <w:tcPr>
            <w:tcW w:w="663" w:type="pct"/>
            <w:hideMark/>
          </w:tcPr>
          <w:p w14:paraId="17E34B02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</w:tc>
        <w:tc>
          <w:tcPr>
            <w:tcW w:w="884" w:type="pct"/>
            <w:hideMark/>
          </w:tcPr>
          <w:p w14:paraId="05C14341" w14:textId="77777777" w:rsidR="00B62FF7" w:rsidRPr="00872E38" w:rsidRDefault="00B62FF7" w:rsidP="001247DD">
            <w:pPr>
              <w:pStyle w:val="ANUPolicy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 </w:t>
            </w:r>
          </w:p>
        </w:tc>
        <w:tc>
          <w:tcPr>
            <w:tcW w:w="953" w:type="pct"/>
            <w:hideMark/>
          </w:tcPr>
          <w:p w14:paraId="623DB894" w14:textId="77777777" w:rsidR="00B62FF7" w:rsidRPr="00872E38" w:rsidRDefault="00B62FF7" w:rsidP="001247DD">
            <w:pPr>
              <w:pStyle w:val="ANUPolicyStatement"/>
              <w:tabs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Also consider -</w:t>
            </w:r>
          </w:p>
          <w:p w14:paraId="74DEE6CB" w14:textId="77777777" w:rsidR="00B62FF7" w:rsidRPr="00872E38" w:rsidRDefault="00B62FF7" w:rsidP="00B62FF7">
            <w:pPr>
              <w:pStyle w:val="ANUPolicyStatement"/>
              <w:numPr>
                <w:ilvl w:val="0"/>
                <w:numId w:val="25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Links to fire/evacuation system </w:t>
            </w:r>
          </w:p>
          <w:p w14:paraId="26490291" w14:textId="77777777" w:rsidR="00B62FF7" w:rsidRPr="00872E38" w:rsidRDefault="00B62FF7" w:rsidP="00B62FF7">
            <w:pPr>
              <w:pStyle w:val="ANUPolicyStatement"/>
              <w:numPr>
                <w:ilvl w:val="0"/>
                <w:numId w:val="25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Gas shut-off valves </w:t>
            </w:r>
          </w:p>
          <w:p w14:paraId="59F4423A" w14:textId="77777777" w:rsidR="00B62FF7" w:rsidRPr="00872E38" w:rsidRDefault="00B62FF7" w:rsidP="00B62FF7">
            <w:pPr>
              <w:pStyle w:val="ANUPolicyStatement"/>
              <w:numPr>
                <w:ilvl w:val="0"/>
                <w:numId w:val="25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 xml:space="preserve">Dual level warnings/alarms </w:t>
            </w:r>
          </w:p>
          <w:p w14:paraId="0A9D84D7" w14:textId="77777777" w:rsidR="00B62FF7" w:rsidRPr="00872E38" w:rsidRDefault="00B62FF7" w:rsidP="00B62FF7">
            <w:pPr>
              <w:pStyle w:val="ANUPolicyStatement"/>
              <w:numPr>
                <w:ilvl w:val="0"/>
                <w:numId w:val="25"/>
              </w:numPr>
              <w:tabs>
                <w:tab w:val="clear" w:pos="720"/>
                <w:tab w:val="num" w:pos="203"/>
              </w:tabs>
              <w:ind w:left="203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  <w:r w:rsidRPr="00872E38">
              <w:rPr>
                <w:sz w:val="24"/>
                <w:szCs w:val="24"/>
                <w:lang w:val="en-AU"/>
              </w:rPr>
              <w:t>Restricting room/door access</w:t>
            </w:r>
          </w:p>
        </w:tc>
      </w:tr>
    </w:tbl>
    <w:p w14:paraId="187A4797" w14:textId="77777777" w:rsidR="00872E38" w:rsidRDefault="00872E38" w:rsidP="00872E38">
      <w:pPr>
        <w:pStyle w:val="ListNumber"/>
        <w:numPr>
          <w:ilvl w:val="0"/>
          <w:numId w:val="0"/>
        </w:numPr>
      </w:pPr>
    </w:p>
    <w:p w14:paraId="15C2D9CF" w14:textId="6E6E54DB" w:rsidR="00B62FF7" w:rsidRDefault="00B62FF7" w:rsidP="00872E38">
      <w:pPr>
        <w:pStyle w:val="ListNumber"/>
      </w:pPr>
      <w:r>
        <w:t xml:space="preserve">This table provides </w:t>
      </w:r>
      <w:r w:rsidR="001517AA">
        <w:t>possible gas system structures.</w:t>
      </w:r>
      <w:r>
        <w:t xml:space="preserve"> These must be confirmed with the </w:t>
      </w:r>
      <w:r w:rsidR="001F519A">
        <w:t>WEG</w:t>
      </w:r>
      <w:r w:rsidR="00A85817">
        <w:t xml:space="preserve"> and other associated parties</w:t>
      </w:r>
      <w:r>
        <w:t xml:space="preserve"> for each individual gas monitoring installation.</w:t>
      </w:r>
    </w:p>
    <w:p w14:paraId="4F504E98" w14:textId="77777777" w:rsidR="00B62FF7" w:rsidRDefault="00B62FF7" w:rsidP="00B62FF7"/>
    <w:p w14:paraId="56E40D3C" w14:textId="77777777" w:rsidR="00631A09" w:rsidRDefault="00631A09" w:rsidP="00994AFD"/>
    <w:p w14:paraId="083C2B33" w14:textId="77777777" w:rsidR="000F4495" w:rsidRPr="000F4495" w:rsidRDefault="000F4495" w:rsidP="000F4495"/>
    <w:p w14:paraId="6EEAEE1E" w14:textId="77777777" w:rsidR="000F4495" w:rsidRPr="000F4495" w:rsidRDefault="000F4495" w:rsidP="000F4495"/>
    <w:p w14:paraId="22E6BE67" w14:textId="77777777" w:rsidR="000F4495" w:rsidRPr="000F4495" w:rsidRDefault="000F4495" w:rsidP="000F4495"/>
    <w:p w14:paraId="26C4B545" w14:textId="77777777" w:rsidR="000F4495" w:rsidRPr="000F4495" w:rsidRDefault="000F4495" w:rsidP="000F4495"/>
    <w:p w14:paraId="135741F0" w14:textId="77777777" w:rsidR="000F4495" w:rsidRPr="000F4495" w:rsidRDefault="000F4495" w:rsidP="000F4495"/>
    <w:p w14:paraId="504CA262" w14:textId="77777777" w:rsidR="000F4495" w:rsidRPr="000F4495" w:rsidRDefault="000F4495" w:rsidP="000F4495"/>
    <w:p w14:paraId="0A2B015A" w14:textId="77777777" w:rsidR="000F4495" w:rsidRPr="000F4495" w:rsidRDefault="000F4495" w:rsidP="000F4495"/>
    <w:p w14:paraId="538AA7E3" w14:textId="77777777" w:rsidR="000F4495" w:rsidRPr="000F4495" w:rsidRDefault="000F4495" w:rsidP="000F4495"/>
    <w:p w14:paraId="7CCE376E" w14:textId="77777777" w:rsidR="000F4495" w:rsidRPr="000F4495" w:rsidRDefault="000F4495" w:rsidP="000F4495"/>
    <w:p w14:paraId="18961060" w14:textId="77777777" w:rsidR="000F4495" w:rsidRPr="000F4495" w:rsidRDefault="000F4495" w:rsidP="000F4495"/>
    <w:p w14:paraId="0284291A" w14:textId="23297D40" w:rsidR="000F4495" w:rsidRPr="000F4495" w:rsidRDefault="000F4495" w:rsidP="000F4495">
      <w:pPr>
        <w:tabs>
          <w:tab w:val="left" w:pos="3805"/>
        </w:tabs>
      </w:pPr>
      <w:r>
        <w:tab/>
      </w:r>
    </w:p>
    <w:sectPr w:rsidR="000F4495" w:rsidRPr="000F4495" w:rsidSect="0072104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F575" w14:textId="77777777" w:rsidR="0072104F" w:rsidRDefault="0072104F" w:rsidP="00032FD1">
      <w:pPr>
        <w:spacing w:before="0" w:after="0" w:line="240" w:lineRule="auto"/>
      </w:pPr>
      <w:r>
        <w:separator/>
      </w:r>
    </w:p>
  </w:endnote>
  <w:endnote w:type="continuationSeparator" w:id="0">
    <w:p w14:paraId="313ADA78" w14:textId="77777777" w:rsidR="0072104F" w:rsidRDefault="0072104F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ZWAdobeF">
    <w:altName w:val="Calibri"/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Public Sans">
    <w:panose1 w:val="020B0604020202020204"/>
    <w:charset w:val="4D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48FC" w14:textId="1E332965" w:rsidR="00184BC7" w:rsidRPr="000F4495" w:rsidRDefault="000F4495" w:rsidP="000F4495">
    <w:pPr>
      <w:pStyle w:val="Footer"/>
      <w:tabs>
        <w:tab w:val="right" w:pos="9639"/>
      </w:tabs>
      <w:ind w:left="4962" w:hanging="4962"/>
      <w:jc w:val="left"/>
      <w:rPr>
        <w:sz w:val="17"/>
        <w:szCs w:val="17"/>
      </w:rPr>
    </w:pPr>
    <w:r w:rsidRPr="007958F4">
      <w:rPr>
        <w:sz w:val="17"/>
        <w:szCs w:val="17"/>
        <w:lang w:val="en-US"/>
      </w:rPr>
      <w:t xml:space="preserve">Guideline: </w:t>
    </w:r>
    <w:r>
      <w:rPr>
        <w:sz w:val="17"/>
        <w:szCs w:val="17"/>
        <w:lang w:val="en-US"/>
      </w:rPr>
      <w:t>Gas Sensor</w:t>
    </w:r>
    <w:r w:rsidRPr="00837B27">
      <w:rPr>
        <w:noProof/>
        <w:sz w:val="17"/>
        <w:szCs w:val="17"/>
        <w:lang w:val="en-US"/>
      </w:rPr>
      <w:ptab w:relativeTo="margin" w:alignment="center" w:leader="none"/>
    </w:r>
    <w:r w:rsidRPr="00837B27">
      <w:rPr>
        <w:noProof/>
        <w:sz w:val="17"/>
        <w:szCs w:val="17"/>
        <w:lang w:val="en-US"/>
      </w:rPr>
      <w:ptab w:relativeTo="margin" w:alignment="right" w:leader="none"/>
    </w:r>
    <w:r w:rsidRPr="003006A4">
      <w:rPr>
        <w:sz w:val="17"/>
        <w:szCs w:val="17"/>
      </w:rPr>
      <w:t xml:space="preserve"> </w:t>
    </w:r>
    <w:r w:rsidRPr="004925FF">
      <w:rPr>
        <w:sz w:val="17"/>
        <w:szCs w:val="17"/>
      </w:rPr>
      <w:t xml:space="preserve">TEQSA Provider ID: PRV12002 </w:t>
    </w:r>
    <w:r w:rsidRPr="004925FF">
      <w:rPr>
        <w:sz w:val="17"/>
        <w:szCs w:val="17"/>
      </w:rPr>
      <w:br/>
    </w:r>
    <w:r>
      <w:rPr>
        <w:sz w:val="17"/>
        <w:szCs w:val="17"/>
      </w:rPr>
      <w:t xml:space="preserve">                                                       </w:t>
    </w:r>
    <w:r w:rsidRPr="004925FF">
      <w:rPr>
        <w:sz w:val="17"/>
        <w:szCs w:val="17"/>
      </w:rPr>
      <w:t>CRICOS Provider: 00120C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4078" w14:textId="262C2EF9" w:rsidR="00184BC7" w:rsidRPr="000F4495" w:rsidRDefault="000F4495" w:rsidP="000F4495">
    <w:pPr>
      <w:pStyle w:val="Footer"/>
      <w:tabs>
        <w:tab w:val="right" w:pos="9639"/>
      </w:tabs>
      <w:ind w:left="4962" w:hanging="4962"/>
      <w:jc w:val="left"/>
      <w:rPr>
        <w:sz w:val="17"/>
        <w:szCs w:val="17"/>
      </w:rPr>
    </w:pPr>
    <w:r w:rsidRPr="007958F4">
      <w:rPr>
        <w:sz w:val="17"/>
        <w:szCs w:val="17"/>
        <w:lang w:val="en-US"/>
      </w:rPr>
      <w:t xml:space="preserve">Guideline: </w:t>
    </w:r>
    <w:r>
      <w:rPr>
        <w:sz w:val="17"/>
        <w:szCs w:val="17"/>
        <w:lang w:val="en-US"/>
      </w:rPr>
      <w:t>Gas Sensor</w:t>
    </w:r>
    <w:r w:rsidRPr="00837B27">
      <w:rPr>
        <w:noProof/>
        <w:sz w:val="17"/>
        <w:szCs w:val="17"/>
        <w:lang w:val="en-US"/>
      </w:rPr>
      <w:ptab w:relativeTo="margin" w:alignment="center" w:leader="none"/>
    </w:r>
    <w:r w:rsidRPr="00837B27">
      <w:rPr>
        <w:noProof/>
        <w:sz w:val="17"/>
        <w:szCs w:val="17"/>
        <w:lang w:val="en-US"/>
      </w:rPr>
      <w:ptab w:relativeTo="margin" w:alignment="right" w:leader="none"/>
    </w:r>
    <w:r w:rsidRPr="003006A4">
      <w:rPr>
        <w:sz w:val="17"/>
        <w:szCs w:val="17"/>
      </w:rPr>
      <w:t xml:space="preserve"> </w:t>
    </w:r>
    <w:r w:rsidRPr="004925FF">
      <w:rPr>
        <w:sz w:val="17"/>
        <w:szCs w:val="17"/>
      </w:rPr>
      <w:t xml:space="preserve">TEQSA Provider ID: PRV12002 </w:t>
    </w:r>
    <w:r w:rsidRPr="004925FF">
      <w:rPr>
        <w:sz w:val="17"/>
        <w:szCs w:val="17"/>
      </w:rPr>
      <w:br/>
    </w:r>
    <w:r>
      <w:rPr>
        <w:sz w:val="17"/>
        <w:szCs w:val="17"/>
      </w:rPr>
      <w:t xml:space="preserve">                                                       </w:t>
    </w:r>
    <w:r w:rsidRPr="004925FF">
      <w:rPr>
        <w:sz w:val="17"/>
        <w:szCs w:val="17"/>
      </w:rPr>
      <w:t>CRICOS Provider: 00120C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D052" w14:textId="77777777" w:rsidR="0072104F" w:rsidRDefault="0072104F" w:rsidP="00032FD1">
      <w:pPr>
        <w:spacing w:before="0" w:after="0" w:line="240" w:lineRule="auto"/>
      </w:pPr>
      <w:r>
        <w:separator/>
      </w:r>
    </w:p>
  </w:footnote>
  <w:footnote w:type="continuationSeparator" w:id="0">
    <w:p w14:paraId="05B02CEE" w14:textId="77777777" w:rsidR="0072104F" w:rsidRDefault="0072104F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3FD3" w14:textId="77777777" w:rsidR="00231693" w:rsidRDefault="00231693" w:rsidP="00231693">
    <w:pPr>
      <w:pStyle w:val="Header"/>
      <w:jc w:val="left"/>
    </w:pPr>
    <w:r>
      <w:rPr>
        <w:noProof/>
        <w:lang w:eastAsia="en-AU"/>
      </w:rPr>
      <w:drawing>
        <wp:inline distT="0" distB="0" distL="0" distR="0" wp14:anchorId="31F8621E" wp14:editId="20D8F12B">
          <wp:extent cx="1620000" cy="563420"/>
          <wp:effectExtent l="0" t="0" r="0" b="8255"/>
          <wp:docPr id="1" name="Picture 1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A49BD" w14:textId="77777777" w:rsidR="00231693" w:rsidRDefault="00231693" w:rsidP="00231693">
    <w:pPr>
      <w:pStyle w:val="Header"/>
      <w:jc w:val="left"/>
    </w:pPr>
  </w:p>
  <w:p w14:paraId="4B6B8118" w14:textId="77777777" w:rsidR="00231693" w:rsidRPr="006F2844" w:rsidRDefault="00231693" w:rsidP="0023169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0E2F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5EF8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1EE1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6E1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7C6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BECF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AB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92A8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509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D46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4369E"/>
    <w:multiLevelType w:val="hybridMultilevel"/>
    <w:tmpl w:val="FD8EBF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319A7"/>
    <w:multiLevelType w:val="hybridMultilevel"/>
    <w:tmpl w:val="08BEABDE"/>
    <w:lvl w:ilvl="0" w:tplc="E8CEC1F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E45B6"/>
    <w:multiLevelType w:val="multilevel"/>
    <w:tmpl w:val="3318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A251C"/>
    <w:multiLevelType w:val="hybridMultilevel"/>
    <w:tmpl w:val="3C807492"/>
    <w:lvl w:ilvl="0" w:tplc="90545902">
      <w:start w:val="1"/>
      <w:numFmt w:val="lowerLetter"/>
      <w:pStyle w:val="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946"/>
    <w:multiLevelType w:val="multilevel"/>
    <w:tmpl w:val="3C46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F64816"/>
    <w:multiLevelType w:val="multilevel"/>
    <w:tmpl w:val="589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691"/>
    <w:multiLevelType w:val="hybridMultilevel"/>
    <w:tmpl w:val="CD724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51036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E264C"/>
    <w:multiLevelType w:val="hybridMultilevel"/>
    <w:tmpl w:val="6E984802"/>
    <w:lvl w:ilvl="0" w:tplc="F2D68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0729B"/>
    <w:multiLevelType w:val="multilevel"/>
    <w:tmpl w:val="CC82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440363"/>
    <w:multiLevelType w:val="hybridMultilevel"/>
    <w:tmpl w:val="8A72BECC"/>
    <w:lvl w:ilvl="0" w:tplc="C56A21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F4440E"/>
    <w:multiLevelType w:val="multilevel"/>
    <w:tmpl w:val="1D4A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F11CF"/>
    <w:multiLevelType w:val="hybridMultilevel"/>
    <w:tmpl w:val="CD7241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637C0"/>
    <w:multiLevelType w:val="hybridMultilevel"/>
    <w:tmpl w:val="E8EAD5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7799"/>
    <w:multiLevelType w:val="hybridMultilevel"/>
    <w:tmpl w:val="07D28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833B2"/>
    <w:multiLevelType w:val="hybridMultilevel"/>
    <w:tmpl w:val="EBB4E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6A19"/>
    <w:multiLevelType w:val="hybridMultilevel"/>
    <w:tmpl w:val="FDF68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426DA"/>
    <w:multiLevelType w:val="multilevel"/>
    <w:tmpl w:val="4AEC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5822D7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E34"/>
    <w:multiLevelType w:val="multilevel"/>
    <w:tmpl w:val="418E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730472"/>
    <w:multiLevelType w:val="hybridMultilevel"/>
    <w:tmpl w:val="7B84F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C26E4"/>
    <w:multiLevelType w:val="hybridMultilevel"/>
    <w:tmpl w:val="68D093AE"/>
    <w:lvl w:ilvl="0" w:tplc="0A280D2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84381">
    <w:abstractNumId w:val="20"/>
  </w:num>
  <w:num w:numId="2" w16cid:durableId="771323359">
    <w:abstractNumId w:val="22"/>
  </w:num>
  <w:num w:numId="3" w16cid:durableId="879784103">
    <w:abstractNumId w:val="10"/>
  </w:num>
  <w:num w:numId="4" w16cid:durableId="528220896">
    <w:abstractNumId w:val="23"/>
  </w:num>
  <w:num w:numId="5" w16cid:durableId="271713067">
    <w:abstractNumId w:val="25"/>
  </w:num>
  <w:num w:numId="6" w16cid:durableId="1519812001">
    <w:abstractNumId w:val="26"/>
  </w:num>
  <w:num w:numId="7" w16cid:durableId="1231308984">
    <w:abstractNumId w:val="27"/>
  </w:num>
  <w:num w:numId="8" w16cid:durableId="1331174198">
    <w:abstractNumId w:val="24"/>
  </w:num>
  <w:num w:numId="9" w16cid:durableId="947009943">
    <w:abstractNumId w:val="16"/>
  </w:num>
  <w:num w:numId="10" w16cid:durableId="59209204">
    <w:abstractNumId w:val="31"/>
  </w:num>
  <w:num w:numId="11" w16cid:durableId="1021468226">
    <w:abstractNumId w:val="32"/>
  </w:num>
  <w:num w:numId="12" w16cid:durableId="1238782832">
    <w:abstractNumId w:val="11"/>
  </w:num>
  <w:num w:numId="13" w16cid:durableId="1905984653">
    <w:abstractNumId w:val="9"/>
  </w:num>
  <w:num w:numId="14" w16cid:durableId="1235698825">
    <w:abstractNumId w:val="8"/>
  </w:num>
  <w:num w:numId="15" w16cid:durableId="219370506">
    <w:abstractNumId w:val="18"/>
  </w:num>
  <w:num w:numId="16" w16cid:durableId="2139759976">
    <w:abstractNumId w:val="17"/>
  </w:num>
  <w:num w:numId="17" w16cid:durableId="2127581980">
    <w:abstractNumId w:val="29"/>
  </w:num>
  <w:num w:numId="18" w16cid:durableId="1996449570">
    <w:abstractNumId w:val="13"/>
  </w:num>
  <w:num w:numId="19" w16cid:durableId="2081829110">
    <w:abstractNumId w:val="14"/>
  </w:num>
  <w:num w:numId="20" w16cid:durableId="1365710795">
    <w:abstractNumId w:val="21"/>
  </w:num>
  <w:num w:numId="21" w16cid:durableId="323818848">
    <w:abstractNumId w:val="12"/>
  </w:num>
  <w:num w:numId="22" w16cid:durableId="1893074520">
    <w:abstractNumId w:val="28"/>
  </w:num>
  <w:num w:numId="23" w16cid:durableId="1470589337">
    <w:abstractNumId w:val="30"/>
  </w:num>
  <w:num w:numId="24" w16cid:durableId="509028218">
    <w:abstractNumId w:val="19"/>
  </w:num>
  <w:num w:numId="25" w16cid:durableId="543251169">
    <w:abstractNumId w:val="15"/>
  </w:num>
  <w:num w:numId="26" w16cid:durableId="1917127464">
    <w:abstractNumId w:val="7"/>
  </w:num>
  <w:num w:numId="27" w16cid:durableId="309409015">
    <w:abstractNumId w:val="6"/>
  </w:num>
  <w:num w:numId="28" w16cid:durableId="311834647">
    <w:abstractNumId w:val="5"/>
  </w:num>
  <w:num w:numId="29" w16cid:durableId="1990092612">
    <w:abstractNumId w:val="4"/>
  </w:num>
  <w:num w:numId="30" w16cid:durableId="42562526">
    <w:abstractNumId w:val="3"/>
  </w:num>
  <w:num w:numId="31" w16cid:durableId="1511292170">
    <w:abstractNumId w:val="2"/>
  </w:num>
  <w:num w:numId="32" w16cid:durableId="501942774">
    <w:abstractNumId w:val="1"/>
  </w:num>
  <w:num w:numId="33" w16cid:durableId="171248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fr-FR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D1"/>
    <w:rsid w:val="00032FD1"/>
    <w:rsid w:val="00091CA7"/>
    <w:rsid w:val="000A77E0"/>
    <w:rsid w:val="000C5500"/>
    <w:rsid w:val="000E5723"/>
    <w:rsid w:val="000F4495"/>
    <w:rsid w:val="00106F6D"/>
    <w:rsid w:val="001517AA"/>
    <w:rsid w:val="001820E1"/>
    <w:rsid w:val="00184BC7"/>
    <w:rsid w:val="00187CA5"/>
    <w:rsid w:val="001E1364"/>
    <w:rsid w:val="001F519A"/>
    <w:rsid w:val="001F720F"/>
    <w:rsid w:val="00216B8B"/>
    <w:rsid w:val="00231693"/>
    <w:rsid w:val="00274ACA"/>
    <w:rsid w:val="0031504E"/>
    <w:rsid w:val="0031627A"/>
    <w:rsid w:val="00343447"/>
    <w:rsid w:val="00347947"/>
    <w:rsid w:val="003B73F4"/>
    <w:rsid w:val="003C5173"/>
    <w:rsid w:val="003E6CDB"/>
    <w:rsid w:val="0040390F"/>
    <w:rsid w:val="00452873"/>
    <w:rsid w:val="004A3B95"/>
    <w:rsid w:val="00563DB6"/>
    <w:rsid w:val="005F6AF6"/>
    <w:rsid w:val="00613F32"/>
    <w:rsid w:val="00631A09"/>
    <w:rsid w:val="00651A59"/>
    <w:rsid w:val="00652E6F"/>
    <w:rsid w:val="006629AA"/>
    <w:rsid w:val="00672764"/>
    <w:rsid w:val="006B7F29"/>
    <w:rsid w:val="006C425D"/>
    <w:rsid w:val="006E14F1"/>
    <w:rsid w:val="007172BA"/>
    <w:rsid w:val="0072104F"/>
    <w:rsid w:val="00745B1D"/>
    <w:rsid w:val="00776208"/>
    <w:rsid w:val="00782F22"/>
    <w:rsid w:val="007B5A14"/>
    <w:rsid w:val="007B6083"/>
    <w:rsid w:val="007B6437"/>
    <w:rsid w:val="00802DDD"/>
    <w:rsid w:val="00825F71"/>
    <w:rsid w:val="00872E38"/>
    <w:rsid w:val="008A376D"/>
    <w:rsid w:val="008F4577"/>
    <w:rsid w:val="00904CE3"/>
    <w:rsid w:val="0091793E"/>
    <w:rsid w:val="00917F7D"/>
    <w:rsid w:val="0095531F"/>
    <w:rsid w:val="009816DA"/>
    <w:rsid w:val="00994AFD"/>
    <w:rsid w:val="009C40C1"/>
    <w:rsid w:val="009C74F5"/>
    <w:rsid w:val="009D3632"/>
    <w:rsid w:val="009D3DC0"/>
    <w:rsid w:val="009F285C"/>
    <w:rsid w:val="00A12F13"/>
    <w:rsid w:val="00A36563"/>
    <w:rsid w:val="00A85817"/>
    <w:rsid w:val="00A86B86"/>
    <w:rsid w:val="00AA7C60"/>
    <w:rsid w:val="00AF247D"/>
    <w:rsid w:val="00B42B6E"/>
    <w:rsid w:val="00B62FF7"/>
    <w:rsid w:val="00B77718"/>
    <w:rsid w:val="00BA2856"/>
    <w:rsid w:val="00BB36B7"/>
    <w:rsid w:val="00BC31C2"/>
    <w:rsid w:val="00BF4FE3"/>
    <w:rsid w:val="00C04AB8"/>
    <w:rsid w:val="00C77611"/>
    <w:rsid w:val="00C9618F"/>
    <w:rsid w:val="00CD7351"/>
    <w:rsid w:val="00D05DEA"/>
    <w:rsid w:val="00D33A54"/>
    <w:rsid w:val="00D36726"/>
    <w:rsid w:val="00D73983"/>
    <w:rsid w:val="00D80888"/>
    <w:rsid w:val="00D85E77"/>
    <w:rsid w:val="00D87196"/>
    <w:rsid w:val="00DC1AA9"/>
    <w:rsid w:val="00DD7337"/>
    <w:rsid w:val="00DE4778"/>
    <w:rsid w:val="00E07447"/>
    <w:rsid w:val="00E81D4E"/>
    <w:rsid w:val="00E82BD2"/>
    <w:rsid w:val="00EC5617"/>
    <w:rsid w:val="00F202BD"/>
    <w:rsid w:val="00F4629F"/>
    <w:rsid w:val="00F626FD"/>
    <w:rsid w:val="00F62983"/>
    <w:rsid w:val="00F7319E"/>
    <w:rsid w:val="00F922A3"/>
    <w:rsid w:val="00FB435E"/>
    <w:rsid w:val="00FC643D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FC91"/>
  <w15:docId w15:val="{62EEA1C8-A519-4D2B-9392-9197DFC3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E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3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31F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276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36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06F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36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F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6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F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F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">
    <w:name w:val="List Alpha"/>
    <w:basedOn w:val="ListNumber"/>
    <w:uiPriority w:val="2"/>
    <w:qFormat/>
    <w:rsid w:val="00994AFD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C643D"/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31F"/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764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4AFD"/>
    <w:rPr>
      <w:rFonts w:asciiTheme="majorHAnsi" w:eastAsiaTheme="majorEastAsia" w:hAnsiTheme="majorHAnsi" w:cstheme="majorBidi"/>
      <w:i/>
      <w:iCs/>
      <w:sz w:val="24"/>
    </w:rPr>
  </w:style>
  <w:style w:type="character" w:styleId="Emphasis">
    <w:name w:val="Emphasis"/>
    <w:uiPriority w:val="3"/>
    <w:rsid w:val="00B77718"/>
    <w:rPr>
      <w:i/>
    </w:rPr>
  </w:style>
  <w:style w:type="paragraph" w:styleId="Header">
    <w:name w:val="header"/>
    <w:basedOn w:val="Normal"/>
    <w:link w:val="HeaderChar"/>
    <w:uiPriority w:val="97"/>
    <w:rsid w:val="00F626FD"/>
    <w:pPr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7"/>
    <w:rsid w:val="00B77718"/>
  </w:style>
  <w:style w:type="paragraph" w:styleId="Footer">
    <w:name w:val="footer"/>
    <w:basedOn w:val="Normal"/>
    <w:link w:val="FooterChar"/>
    <w:uiPriority w:val="98"/>
    <w:rsid w:val="00184BC7"/>
    <w:pPr>
      <w:spacing w:before="24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184BC7"/>
  </w:style>
  <w:style w:type="paragraph" w:styleId="Caption">
    <w:name w:val="caption"/>
    <w:basedOn w:val="Normal"/>
    <w:next w:val="Normal"/>
    <w:uiPriority w:val="4"/>
    <w:rsid w:val="00F7319E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59"/>
    <w:rsid w:val="00745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A86B86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A86B86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character" w:customStyle="1" w:styleId="apple-converted-space">
    <w:name w:val="apple-converted-space"/>
    <w:basedOn w:val="DefaultParagraphFont"/>
    <w:semiHidden/>
    <w:rsid w:val="0095531F"/>
  </w:style>
  <w:style w:type="paragraph" w:styleId="BalloonText">
    <w:name w:val="Balloon Text"/>
    <w:basedOn w:val="Normal"/>
    <w:link w:val="BalloonTextChar"/>
    <w:uiPriority w:val="99"/>
    <w:semiHidden/>
    <w:unhideWhenUsed/>
    <w:rsid w:val="002316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9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2"/>
    <w:qFormat/>
    <w:rsid w:val="00994AFD"/>
    <w:pPr>
      <w:numPr>
        <w:numId w:val="12"/>
      </w:numPr>
    </w:pPr>
  </w:style>
  <w:style w:type="paragraph" w:styleId="ListNumber">
    <w:name w:val="List Number"/>
    <w:basedOn w:val="Normal"/>
    <w:uiPriority w:val="1"/>
    <w:qFormat/>
    <w:rsid w:val="00B62FF7"/>
    <w:pPr>
      <w:numPr>
        <w:numId w:val="11"/>
      </w:numPr>
      <w:ind w:left="0" w:firstLine="0"/>
    </w:pPr>
  </w:style>
  <w:style w:type="character" w:customStyle="1" w:styleId="Heading5Char">
    <w:name w:val="Heading 5 Char"/>
    <w:basedOn w:val="DefaultParagraphFont"/>
    <w:link w:val="Heading5"/>
    <w:uiPriority w:val="9"/>
    <w:rsid w:val="00B77718"/>
    <w:rPr>
      <w:rFonts w:asciiTheme="majorHAnsi" w:eastAsiaTheme="majorEastAsia" w:hAnsiTheme="majorHAnsi" w:cstheme="majorBidi"/>
      <w:color w:val="25363B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B62FF7"/>
    <w:rPr>
      <w:color w:val="4C6E78" w:themeColor="hyperlink"/>
      <w:u w:val="single"/>
    </w:rPr>
  </w:style>
  <w:style w:type="paragraph" w:customStyle="1" w:styleId="ANUPolicyStatement">
    <w:name w:val="ANU_Policy_Statement"/>
    <w:basedOn w:val="Normal"/>
    <w:link w:val="ANUPolicyStatementChar"/>
    <w:rsid w:val="00B62FF7"/>
    <w:pPr>
      <w:spacing w:before="0" w:line="240" w:lineRule="auto"/>
      <w:ind w:left="567"/>
    </w:pPr>
    <w:rPr>
      <w:rFonts w:ascii="Arial" w:eastAsia="Times New Roman" w:hAnsi="Arial" w:cs="Times New Roman"/>
      <w:sz w:val="20"/>
      <w:szCs w:val="22"/>
      <w:lang w:val="en-US" w:bidi="en-US"/>
    </w:rPr>
  </w:style>
  <w:style w:type="character" w:customStyle="1" w:styleId="ANUPolicyStatementChar">
    <w:name w:val="ANU_Policy_Statement Char"/>
    <w:basedOn w:val="DefaultParagraphFont"/>
    <w:link w:val="ANUPolicyStatement"/>
    <w:rsid w:val="00B62FF7"/>
    <w:rPr>
      <w:rFonts w:ascii="Arial" w:eastAsia="Times New Roman" w:hAnsi="Arial" w:cs="Times New Roman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43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37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106F6D"/>
  </w:style>
  <w:style w:type="paragraph" w:styleId="BlockText">
    <w:name w:val="Block Text"/>
    <w:basedOn w:val="Normal"/>
    <w:uiPriority w:val="99"/>
    <w:semiHidden/>
    <w:unhideWhenUsed/>
    <w:rsid w:val="00106F6D"/>
    <w:pPr>
      <w:pBdr>
        <w:top w:val="single" w:sz="2" w:space="10" w:color="4C6E78" w:themeColor="accent1"/>
        <w:left w:val="single" w:sz="2" w:space="10" w:color="4C6E78" w:themeColor="accent1"/>
        <w:bottom w:val="single" w:sz="2" w:space="10" w:color="4C6E78" w:themeColor="accent1"/>
        <w:right w:val="single" w:sz="2" w:space="10" w:color="4C6E78" w:themeColor="accent1"/>
      </w:pBdr>
      <w:ind w:left="1152" w:right="1152"/>
    </w:pPr>
    <w:rPr>
      <w:rFonts w:eastAsiaTheme="minorEastAsia"/>
      <w:i/>
      <w:iCs/>
      <w:color w:val="4C6E7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6F6D"/>
  </w:style>
  <w:style w:type="character" w:customStyle="1" w:styleId="BodyTextChar">
    <w:name w:val="Body Text Char"/>
    <w:basedOn w:val="DefaultParagraphFont"/>
    <w:link w:val="BodyText"/>
    <w:uiPriority w:val="99"/>
    <w:semiHidden/>
    <w:rsid w:val="00106F6D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6F6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6F6D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6F6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6F6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6F6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6F6D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6F6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6F6D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6F6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6F6D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6F6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6F6D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6F6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6F6D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06F6D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6F6D"/>
    <w:rPr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6F6D"/>
  </w:style>
  <w:style w:type="character" w:customStyle="1" w:styleId="DateChar">
    <w:name w:val="Date Char"/>
    <w:basedOn w:val="DefaultParagraphFont"/>
    <w:link w:val="Date"/>
    <w:uiPriority w:val="99"/>
    <w:semiHidden/>
    <w:rsid w:val="00106F6D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6F6D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6F6D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06F6D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06F6D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F6D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F6D"/>
  </w:style>
  <w:style w:type="paragraph" w:styleId="EnvelopeAddress">
    <w:name w:val="envelope address"/>
    <w:basedOn w:val="Normal"/>
    <w:uiPriority w:val="99"/>
    <w:semiHidden/>
    <w:unhideWhenUsed/>
    <w:rsid w:val="00106F6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6F6D"/>
    <w:pPr>
      <w:spacing w:before="0"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6F6D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F6D"/>
  </w:style>
  <w:style w:type="character" w:customStyle="1" w:styleId="Heading6Char">
    <w:name w:val="Heading 6 Char"/>
    <w:basedOn w:val="DefaultParagraphFont"/>
    <w:link w:val="Heading6"/>
    <w:uiPriority w:val="9"/>
    <w:semiHidden/>
    <w:rsid w:val="00106F6D"/>
    <w:rPr>
      <w:rFonts w:asciiTheme="majorHAnsi" w:eastAsiaTheme="majorEastAsia" w:hAnsiTheme="majorHAnsi" w:cstheme="majorBidi"/>
      <w:color w:val="25363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F6D"/>
    <w:rPr>
      <w:rFonts w:asciiTheme="majorHAnsi" w:eastAsiaTheme="majorEastAsia" w:hAnsiTheme="majorHAnsi" w:cstheme="majorBidi"/>
      <w:i/>
      <w:iCs/>
      <w:color w:val="25363B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6F6D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6F6D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F6D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F6D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6F6D"/>
    <w:pPr>
      <w:spacing w:before="0"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6F6D"/>
    <w:pPr>
      <w:spacing w:before="0"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6F6D"/>
    <w:pPr>
      <w:spacing w:before="0"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6F6D"/>
    <w:pPr>
      <w:spacing w:before="0"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6F6D"/>
    <w:pPr>
      <w:spacing w:before="0"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6F6D"/>
    <w:pPr>
      <w:spacing w:before="0"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6F6D"/>
    <w:pPr>
      <w:spacing w:before="0"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6F6D"/>
    <w:pPr>
      <w:spacing w:before="0"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6F6D"/>
    <w:pPr>
      <w:spacing w:before="0"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6F6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106F6D"/>
    <w:pPr>
      <w:pBdr>
        <w:top w:val="single" w:sz="4" w:space="10" w:color="4C6E78" w:themeColor="accent1"/>
        <w:bottom w:val="single" w:sz="4" w:space="10" w:color="4C6E78" w:themeColor="accent1"/>
      </w:pBdr>
      <w:spacing w:before="360" w:after="360"/>
      <w:ind w:left="864" w:right="864"/>
      <w:jc w:val="center"/>
    </w:pPr>
    <w:rPr>
      <w:i/>
      <w:iCs/>
      <w:color w:val="4C6E7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F6D"/>
    <w:rPr>
      <w:i/>
      <w:iCs/>
      <w:color w:val="4C6E78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106F6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6F6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6F6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6F6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6F6D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106F6D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6F6D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6F6D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6F6D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6F6D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6F6D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6F6D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6F6D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6F6D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106F6D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6F6D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6F6D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6F6D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2"/>
    <w:rsid w:val="00106F6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06F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6F6D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6F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6F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06F6D"/>
    <w:pPr>
      <w:spacing w:before="0"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06F6D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06F6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6F6D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6F6D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6F6D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6F6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106F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F6D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6F6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6F6D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6F6D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6F6D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106F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06F6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6F6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6F6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106F6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06F6D"/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6F6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6F6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6F6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6F6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6F6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6F6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6F6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6F6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6F6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06F6D"/>
    <w:pPr>
      <w:spacing w:before="240" w:after="0"/>
      <w:outlineLvl w:val="9"/>
    </w:pPr>
    <w:rPr>
      <w:b w:val="0"/>
      <w:color w:val="395259" w:themeColor="accent1" w:themeShade="BF"/>
      <w:sz w:val="32"/>
    </w:rPr>
  </w:style>
  <w:style w:type="character" w:styleId="SubtleEmphasis">
    <w:name w:val="Subtle Emphasis"/>
    <w:basedOn w:val="DefaultParagraphFont"/>
    <w:uiPriority w:val="19"/>
    <w:rsid w:val="001E136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E1364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F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97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5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64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26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873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9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4080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206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95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166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282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0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62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69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29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7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92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0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72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97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0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09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89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13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79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85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7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4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8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142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3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68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843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81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5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89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04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56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1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55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0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9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50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14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7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58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0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334">
              <w:marLeft w:val="144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9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2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27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96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128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2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84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45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6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94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73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42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6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091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65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82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1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9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2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97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193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330">
              <w:marLeft w:val="7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955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9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5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1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1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5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9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2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1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47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2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59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2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35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523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1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52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Mode="External" Target="https://services.anu.edu.au/business-units/human-resources-division/work-environment-group-weg/safety-and-wellbeing-f-weg/safety" Type="http://schemas.openxmlformats.org/officeDocument/2006/relationships/hyperlink" Id="rId8"></Relationship><Relationship Target="fontTable.xml" Type="http://schemas.openxmlformats.org/officeDocument/2006/relationships/fontTable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footer2.xml" Type="http://schemas.openxmlformats.org/officeDocument/2006/relationships/footer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header1.xml" Type="http://schemas.openxmlformats.org/officeDocument/2006/relationships/header" Id="rId11"></Relationship><Relationship Target="webSettings.xml" Type="http://schemas.openxmlformats.org/officeDocument/2006/relationships/webSettings" Id="rId5"></Relationship><Relationship Target="footer1.xml" Type="http://schemas.openxmlformats.org/officeDocument/2006/relationships/footer" Id="rId10"></Relationship><Relationship Target="settings.xml" Type="http://schemas.openxmlformats.org/officeDocument/2006/relationships/settings" Id="rId4"></Relationship><Relationship TargetMode="External" Target="mailto:whs@anu.edu.au" Type="http://schemas.openxmlformats.org/officeDocument/2006/relationships/hyperlink" Id="rId9"></Relationship><Relationship Target="theme/theme1.xml" Type="http://schemas.openxmlformats.org/officeDocument/2006/relationships/theme" Id="rId14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4C6E78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AF80-8997-470B-B3D4-CCBD5EE9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Mariane Quintao</cp:lastModifiedBy>
  <cp:revision>2</cp:revision>
  <cp:lastPrinted>2018-01-24T05:13:00Z</cp:lastPrinted>
  <dcterms:created xsi:type="dcterms:W3CDTF">2024-01-11T04:52:00Z</dcterms:created>
  <dcterms:modified xsi:type="dcterms:W3CDTF">2024-01-11T04:52:00Z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16" name="DISdDocName">
    <vt:lpwstr>ANUP_000743</vt:lpwstr>
  </property>
  <property fmtid="{D5CDD505-2E9C-101B-9397-08002B2CF9AE}" pid="17" name="DISProperties">
    <vt:lpwstr>DISdDocName,DIScgiUrl,DISdUser,DISdID,DISidcName,DISTaskPaneUrl</vt:lpwstr>
  </property>
  <property fmtid="{D5CDD505-2E9C-101B-9397-08002B2CF9AE}" pid="18" name="DIScgiUrl">
    <vt:lpwstr>https://erms.anu.edu.au/cs/idcplg</vt:lpwstr>
  </property>
  <property fmtid="{D5CDD505-2E9C-101B-9397-08002B2CF9AE}" pid="19" name="DISdUser">
    <vt:lpwstr>weblogic</vt:lpwstr>
  </property>
  <property fmtid="{D5CDD505-2E9C-101B-9397-08002B2CF9AE}" pid="20" name="DISdID">
    <vt:lpwstr>4680624</vt:lpwstr>
  </property>
  <property fmtid="{D5CDD505-2E9C-101B-9397-08002B2CF9AE}" pid="21" name="DISidcName">
    <vt:lpwstr>ermscon1ermsanueduau16200</vt:lpwstr>
  </property>
  <property fmtid="{D5CDD505-2E9C-101B-9397-08002B2CF9AE}" pid="22" name="DISTaskPaneUrl">
    <vt:lpwstr>https://erms.anu.edu.au/cs/idcplg?IdcService=DESKTOP_DOC_INFO&amp;dDocName=ANUP_000743&amp;dID=4680624&amp;ClientControlled=DocMan,taskpane&amp;coreContentOnly=1</vt:lpwstr>
  </property>
</Properties>
</file>