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559BD" w14:textId="2FE305D0" w:rsidR="005B6D27" w:rsidRPr="00E62902" w:rsidRDefault="005B6D27" w:rsidP="005B6D27">
      <w:pPr>
        <w:pStyle w:val="Title"/>
        <w:rPr>
          <w:b/>
          <w:sz w:val="28"/>
          <w:szCs w:val="28"/>
        </w:rPr>
      </w:pPr>
      <w:bookmarkStart w:id="0" w:name="_GoBack"/>
      <w:bookmarkEnd w:id="0"/>
      <w:r>
        <w:rPr>
          <w:b/>
          <w:sz w:val="28"/>
          <w:szCs w:val="28"/>
        </w:rPr>
        <w:t xml:space="preserve">IBC </w:t>
      </w:r>
      <w:r w:rsidR="00055FDD">
        <w:rPr>
          <w:b/>
          <w:sz w:val="28"/>
          <w:szCs w:val="28"/>
        </w:rPr>
        <w:t>G</w:t>
      </w:r>
      <w:r>
        <w:rPr>
          <w:b/>
          <w:sz w:val="28"/>
          <w:szCs w:val="28"/>
        </w:rPr>
        <w:t xml:space="preserve">uidelines </w:t>
      </w:r>
      <w:r w:rsidRPr="00E62902">
        <w:rPr>
          <w:b/>
          <w:sz w:val="28"/>
          <w:szCs w:val="28"/>
        </w:rPr>
        <w:t xml:space="preserve">on Facility/Laboratory Decontamination </w:t>
      </w:r>
    </w:p>
    <w:p w14:paraId="07144197" w14:textId="2C2000DC" w:rsidR="005B6D27" w:rsidRPr="005B6D27" w:rsidRDefault="005B6D27" w:rsidP="005B6D27">
      <w:pPr>
        <w:jc w:val="both"/>
        <w:outlineLvl w:val="0"/>
        <w:rPr>
          <w:rFonts w:ascii="Tahoma" w:hAnsi="Tahoma" w:cs="Tahoma"/>
          <w:sz w:val="21"/>
          <w:szCs w:val="21"/>
        </w:rPr>
      </w:pPr>
      <w:r w:rsidRPr="005B6D27">
        <w:rPr>
          <w:rFonts w:ascii="Tahoma" w:hAnsi="Tahoma" w:cs="Tahoma"/>
          <w:sz w:val="21"/>
          <w:szCs w:val="21"/>
        </w:rPr>
        <w:t xml:space="preserve">When PC2 certification of a laboratory/facility is no longer required, the facility manager must ensure that all surfaces </w:t>
      </w:r>
      <w:r w:rsidR="00E6755D" w:rsidRPr="005B6D27">
        <w:rPr>
          <w:rFonts w:ascii="Tahoma" w:hAnsi="Tahoma" w:cs="Tahoma"/>
          <w:sz w:val="21"/>
          <w:szCs w:val="21"/>
        </w:rPr>
        <w:t xml:space="preserve">within the facility/laboratory </w:t>
      </w:r>
      <w:r w:rsidRPr="005B6D27">
        <w:rPr>
          <w:rFonts w:ascii="Tahoma" w:hAnsi="Tahoma" w:cs="Tahoma"/>
          <w:sz w:val="21"/>
          <w:szCs w:val="21"/>
        </w:rPr>
        <w:t>and equipment used to handle or store GMOs have been decontaminated. These include laboratory bench tops, biosafety-cabinet work-surfaces, refrigerators, freezers, incubators, centrifuges, laboratory floors and walls.</w:t>
      </w:r>
      <w:r w:rsidR="001F3DD7">
        <w:rPr>
          <w:rFonts w:ascii="Tahoma" w:hAnsi="Tahoma" w:cs="Tahoma"/>
          <w:sz w:val="21"/>
          <w:szCs w:val="21"/>
        </w:rPr>
        <w:t xml:space="preserve"> </w:t>
      </w:r>
    </w:p>
    <w:p w14:paraId="1D30EEB3" w14:textId="77777777" w:rsidR="005B6D27" w:rsidRPr="005B6D27" w:rsidRDefault="005B6D27" w:rsidP="005B6D27">
      <w:pPr>
        <w:jc w:val="both"/>
        <w:outlineLvl w:val="0"/>
        <w:rPr>
          <w:rFonts w:ascii="Tahoma" w:hAnsi="Tahoma" w:cs="Tahoma"/>
          <w:sz w:val="21"/>
          <w:szCs w:val="21"/>
        </w:rPr>
      </w:pPr>
    </w:p>
    <w:p w14:paraId="2F24EA37" w14:textId="77777777" w:rsidR="005B6D27" w:rsidRPr="005B6D27" w:rsidRDefault="005B6D27" w:rsidP="005B6D27">
      <w:pPr>
        <w:jc w:val="both"/>
        <w:outlineLvl w:val="0"/>
        <w:rPr>
          <w:rFonts w:ascii="Tahoma" w:hAnsi="Tahoma" w:cs="Tahoma"/>
          <w:sz w:val="21"/>
          <w:szCs w:val="21"/>
        </w:rPr>
      </w:pPr>
      <w:r w:rsidRPr="005B6D27">
        <w:rPr>
          <w:rFonts w:ascii="Tahoma" w:hAnsi="Tahoma" w:cs="Tahoma"/>
          <w:sz w:val="21"/>
          <w:szCs w:val="21"/>
        </w:rPr>
        <w:t xml:space="preserve">Prior to decontamination, ensure that all laboratory debris and waste is safely removed. For disposal of GMO waste, please refer to the OGTR’s </w:t>
      </w:r>
      <w:hyperlink r:id="rId8" w:history="1">
        <w:r w:rsidRPr="005B6D27">
          <w:rPr>
            <w:rStyle w:val="Hyperlink"/>
            <w:rFonts w:ascii="Tahoma" w:hAnsi="Tahoma" w:cs="Tahoma"/>
            <w:sz w:val="21"/>
            <w:szCs w:val="21"/>
          </w:rPr>
          <w:t>Guidelines for the Transport, Storage and Disposal of GMOs (2011)</w:t>
        </w:r>
      </w:hyperlink>
    </w:p>
    <w:p w14:paraId="79420498" w14:textId="77777777" w:rsidR="005B6D27" w:rsidRPr="005B6D27" w:rsidRDefault="005B6D27" w:rsidP="005B6D27">
      <w:pPr>
        <w:jc w:val="both"/>
        <w:outlineLvl w:val="0"/>
        <w:rPr>
          <w:rFonts w:ascii="Tahoma" w:hAnsi="Tahoma" w:cs="Tahoma"/>
          <w:b/>
          <w:sz w:val="21"/>
          <w:szCs w:val="21"/>
        </w:rPr>
      </w:pPr>
    </w:p>
    <w:p w14:paraId="363A07D6" w14:textId="77777777" w:rsidR="005B6D27" w:rsidRPr="005B6D27" w:rsidRDefault="005B6D27" w:rsidP="005B6D27">
      <w:pPr>
        <w:jc w:val="both"/>
        <w:outlineLvl w:val="0"/>
        <w:rPr>
          <w:rFonts w:ascii="Tahoma" w:hAnsi="Tahoma" w:cs="Tahoma"/>
          <w:b/>
          <w:sz w:val="21"/>
          <w:szCs w:val="21"/>
        </w:rPr>
      </w:pPr>
      <w:r w:rsidRPr="005B6D27">
        <w:rPr>
          <w:rFonts w:ascii="Tahoma" w:hAnsi="Tahoma" w:cs="Tahoma"/>
          <w:b/>
          <w:sz w:val="21"/>
          <w:szCs w:val="21"/>
        </w:rPr>
        <w:t xml:space="preserve">Recommended disinfectants for decontaminating laboratory benches, equipment and biological safety cabinets. </w:t>
      </w:r>
    </w:p>
    <w:p w14:paraId="74B72491" w14:textId="77777777" w:rsidR="005B6D27" w:rsidRPr="005B6D27" w:rsidRDefault="005B6D27" w:rsidP="005B6D27">
      <w:pPr>
        <w:jc w:val="both"/>
        <w:outlineLvl w:val="0"/>
        <w:rPr>
          <w:rFonts w:ascii="Tahoma" w:hAnsi="Tahoma" w:cs="Tahoma"/>
          <w:i/>
          <w:sz w:val="21"/>
          <w:szCs w:val="21"/>
        </w:rPr>
      </w:pPr>
    </w:p>
    <w:p w14:paraId="6B4B7DFF" w14:textId="5EEC5BED" w:rsidR="005B6D27" w:rsidRPr="005B6D27" w:rsidRDefault="005B6D27" w:rsidP="005B6D27">
      <w:pPr>
        <w:jc w:val="both"/>
        <w:outlineLvl w:val="0"/>
        <w:rPr>
          <w:rFonts w:ascii="Tahoma" w:hAnsi="Tahoma" w:cs="Tahoma"/>
          <w:i/>
          <w:sz w:val="21"/>
          <w:szCs w:val="21"/>
          <w:u w:val="single"/>
        </w:rPr>
      </w:pPr>
      <w:r w:rsidRPr="005B6D27">
        <w:rPr>
          <w:rFonts w:ascii="Tahoma" w:hAnsi="Tahoma" w:cs="Tahoma"/>
          <w:i/>
          <w:sz w:val="21"/>
          <w:szCs w:val="21"/>
          <w:u w:val="single"/>
        </w:rPr>
        <w:t>80% ethanol</w:t>
      </w:r>
      <w:r w:rsidR="0004369B">
        <w:rPr>
          <w:rFonts w:ascii="Tahoma" w:hAnsi="Tahoma" w:cs="Tahoma"/>
          <w:i/>
          <w:sz w:val="21"/>
          <w:szCs w:val="21"/>
          <w:u w:val="single"/>
        </w:rPr>
        <w:t xml:space="preserve"> (</w:t>
      </w:r>
      <w:r w:rsidR="00880FD7">
        <w:rPr>
          <w:rFonts w:ascii="Tahoma" w:hAnsi="Tahoma" w:cs="Tahoma"/>
          <w:i/>
          <w:sz w:val="21"/>
          <w:szCs w:val="21"/>
          <w:u w:val="single"/>
        </w:rPr>
        <w:t>v</w:t>
      </w:r>
      <w:r w:rsidR="0004369B">
        <w:rPr>
          <w:rFonts w:ascii="Tahoma" w:hAnsi="Tahoma" w:cs="Tahoma"/>
          <w:i/>
          <w:sz w:val="21"/>
          <w:szCs w:val="21"/>
          <w:u w:val="single"/>
        </w:rPr>
        <w:t>/v)</w:t>
      </w:r>
    </w:p>
    <w:p w14:paraId="4A2D96FF" w14:textId="2C8F6F1C" w:rsidR="005B6D27" w:rsidRPr="005B6D27" w:rsidRDefault="005B6D27" w:rsidP="005B6D27">
      <w:pPr>
        <w:jc w:val="both"/>
        <w:outlineLvl w:val="0"/>
        <w:rPr>
          <w:rFonts w:ascii="Tahoma" w:hAnsi="Tahoma" w:cs="Tahoma"/>
          <w:sz w:val="21"/>
          <w:szCs w:val="21"/>
        </w:rPr>
      </w:pPr>
      <w:r w:rsidRPr="005B6D27">
        <w:rPr>
          <w:rFonts w:ascii="Tahoma" w:hAnsi="Tahoma" w:cs="Tahoma"/>
          <w:sz w:val="21"/>
          <w:szCs w:val="21"/>
        </w:rPr>
        <w:t xml:space="preserve">Should only be used to decontaminate surfaces where GMO work is carried out. This includes laboratory benches. 80% ethanol </w:t>
      </w:r>
      <w:r w:rsidR="0004369B">
        <w:rPr>
          <w:rFonts w:ascii="Tahoma" w:hAnsi="Tahoma" w:cs="Tahoma"/>
          <w:sz w:val="21"/>
          <w:szCs w:val="21"/>
        </w:rPr>
        <w:t>(</w:t>
      </w:r>
      <w:r w:rsidR="00880FD7">
        <w:rPr>
          <w:rFonts w:ascii="Tahoma" w:hAnsi="Tahoma" w:cs="Tahoma"/>
          <w:sz w:val="21"/>
          <w:szCs w:val="21"/>
        </w:rPr>
        <w:t>v</w:t>
      </w:r>
      <w:r w:rsidR="0004369B">
        <w:rPr>
          <w:rFonts w:ascii="Tahoma" w:hAnsi="Tahoma" w:cs="Tahoma"/>
          <w:sz w:val="21"/>
          <w:szCs w:val="21"/>
        </w:rPr>
        <w:t xml:space="preserve">/v) </w:t>
      </w:r>
      <w:r w:rsidRPr="005B6D27">
        <w:rPr>
          <w:rFonts w:ascii="Tahoma" w:hAnsi="Tahoma" w:cs="Tahoma"/>
          <w:sz w:val="21"/>
          <w:szCs w:val="21"/>
        </w:rPr>
        <w:t xml:space="preserve">may be used from a dispensing bottle but should never be sprayed as a mist because of its volatility and flammability. 80% ethanol </w:t>
      </w:r>
      <w:r w:rsidR="0004369B">
        <w:rPr>
          <w:rFonts w:ascii="Tahoma" w:hAnsi="Tahoma" w:cs="Tahoma"/>
          <w:sz w:val="21"/>
          <w:szCs w:val="21"/>
        </w:rPr>
        <w:t>(</w:t>
      </w:r>
      <w:r w:rsidR="00880FD7">
        <w:rPr>
          <w:rFonts w:ascii="Tahoma" w:hAnsi="Tahoma" w:cs="Tahoma"/>
          <w:sz w:val="21"/>
          <w:szCs w:val="21"/>
        </w:rPr>
        <w:t>v</w:t>
      </w:r>
      <w:r w:rsidR="0004369B">
        <w:rPr>
          <w:rFonts w:ascii="Tahoma" w:hAnsi="Tahoma" w:cs="Tahoma"/>
          <w:sz w:val="21"/>
          <w:szCs w:val="21"/>
        </w:rPr>
        <w:t xml:space="preserve">/v) </w:t>
      </w:r>
      <w:r w:rsidRPr="005B6D27">
        <w:rPr>
          <w:rFonts w:ascii="Tahoma" w:hAnsi="Tahoma" w:cs="Tahoma"/>
          <w:sz w:val="21"/>
          <w:szCs w:val="21"/>
        </w:rPr>
        <w:t xml:space="preserve">should only be used sparingly in biological safety cabinets and not on equipment that is likely to cause sparks. </w:t>
      </w:r>
    </w:p>
    <w:p w14:paraId="3102B780" w14:textId="77777777" w:rsidR="005B6D27" w:rsidRPr="005B6D27" w:rsidRDefault="005B6D27" w:rsidP="005B6D27">
      <w:pPr>
        <w:jc w:val="both"/>
        <w:outlineLvl w:val="0"/>
        <w:rPr>
          <w:rFonts w:ascii="Tahoma" w:hAnsi="Tahoma" w:cs="Tahoma"/>
          <w:i/>
          <w:sz w:val="21"/>
          <w:szCs w:val="21"/>
        </w:rPr>
      </w:pPr>
    </w:p>
    <w:p w14:paraId="52069C1D" w14:textId="77777777" w:rsidR="005B6D27" w:rsidRPr="005B6D27" w:rsidRDefault="005B6D27" w:rsidP="005B6D27">
      <w:pPr>
        <w:jc w:val="both"/>
        <w:outlineLvl w:val="0"/>
        <w:rPr>
          <w:rFonts w:ascii="Tahoma" w:hAnsi="Tahoma" w:cs="Tahoma"/>
          <w:i/>
          <w:sz w:val="21"/>
          <w:szCs w:val="21"/>
          <w:u w:val="single"/>
        </w:rPr>
      </w:pPr>
      <w:r w:rsidRPr="005B6D27">
        <w:rPr>
          <w:rFonts w:ascii="Tahoma" w:hAnsi="Tahoma" w:cs="Tahoma"/>
          <w:i/>
          <w:sz w:val="21"/>
          <w:szCs w:val="21"/>
          <w:u w:val="single"/>
        </w:rPr>
        <w:t xml:space="preserve">F10 </w:t>
      </w:r>
    </w:p>
    <w:p w14:paraId="293FC4C4" w14:textId="217C1C3C" w:rsidR="005B6D27" w:rsidRPr="005B6D27" w:rsidRDefault="005B6D27" w:rsidP="005B6D27">
      <w:pPr>
        <w:jc w:val="both"/>
        <w:outlineLvl w:val="0"/>
        <w:rPr>
          <w:rFonts w:ascii="Tahoma" w:hAnsi="Tahoma" w:cs="Tahoma"/>
          <w:sz w:val="21"/>
          <w:szCs w:val="21"/>
        </w:rPr>
      </w:pPr>
      <w:r w:rsidRPr="005B6D27">
        <w:rPr>
          <w:rFonts w:ascii="Tahoma" w:hAnsi="Tahoma" w:cs="Tahoma"/>
          <w:sz w:val="21"/>
          <w:szCs w:val="21"/>
        </w:rPr>
        <w:t xml:space="preserve">F10 is a good alternative to 80% ethanol </w:t>
      </w:r>
      <w:r w:rsidR="00804D00">
        <w:rPr>
          <w:rFonts w:ascii="Tahoma" w:hAnsi="Tahoma" w:cs="Tahoma"/>
          <w:sz w:val="21"/>
          <w:szCs w:val="21"/>
        </w:rPr>
        <w:t>(</w:t>
      </w:r>
      <w:r w:rsidR="00055FDD">
        <w:rPr>
          <w:rFonts w:ascii="Tahoma" w:hAnsi="Tahoma" w:cs="Tahoma"/>
          <w:sz w:val="21"/>
          <w:szCs w:val="21"/>
        </w:rPr>
        <w:t>v</w:t>
      </w:r>
      <w:r w:rsidR="00804D00">
        <w:rPr>
          <w:rFonts w:ascii="Tahoma" w:hAnsi="Tahoma" w:cs="Tahoma"/>
          <w:sz w:val="21"/>
          <w:szCs w:val="21"/>
        </w:rPr>
        <w:t xml:space="preserve">/v) </w:t>
      </w:r>
      <w:r w:rsidRPr="005B6D27">
        <w:rPr>
          <w:rFonts w:ascii="Tahoma" w:hAnsi="Tahoma" w:cs="Tahoma"/>
          <w:sz w:val="21"/>
          <w:szCs w:val="21"/>
        </w:rPr>
        <w:t>or clean-up that involves microbiological contamination. F10 is a total-spectrum disinfectant that can be used on laboratory equipment and work surfaces. It can also be used by laboratory personnel to disinfect their hands. Unlike sodium hypochlorite, diluted solutions of F10 remain active for long periods of time. In addition, F10 is safe for use in animal breed</w:t>
      </w:r>
      <w:r w:rsidR="00492EA1">
        <w:rPr>
          <w:rFonts w:ascii="Tahoma" w:hAnsi="Tahoma" w:cs="Tahoma"/>
          <w:sz w:val="21"/>
          <w:szCs w:val="21"/>
        </w:rPr>
        <w:t xml:space="preserve">ing and housing facilities. F10, at a dilution of 1:250, </w:t>
      </w:r>
      <w:r w:rsidRPr="005B6D27">
        <w:rPr>
          <w:rFonts w:ascii="Tahoma" w:hAnsi="Tahoma" w:cs="Tahoma"/>
          <w:sz w:val="21"/>
          <w:szCs w:val="21"/>
        </w:rPr>
        <w:t>has a recommended contact time of 1 minute and is non-corrosive</w:t>
      </w:r>
      <w:r w:rsidR="0004369B">
        <w:rPr>
          <w:rFonts w:ascii="Tahoma" w:hAnsi="Tahoma" w:cs="Tahoma"/>
          <w:sz w:val="21"/>
          <w:szCs w:val="21"/>
        </w:rPr>
        <w:t>.</w:t>
      </w:r>
      <w:r w:rsidR="00492EA1">
        <w:rPr>
          <w:rFonts w:ascii="Tahoma" w:hAnsi="Tahoma" w:cs="Tahoma"/>
          <w:sz w:val="21"/>
          <w:szCs w:val="21"/>
        </w:rPr>
        <w:t xml:space="preserve"> </w:t>
      </w:r>
      <w:r w:rsidR="000C3748">
        <w:rPr>
          <w:rFonts w:ascii="Tahoma" w:hAnsi="Tahoma" w:cs="Tahoma"/>
          <w:sz w:val="21"/>
          <w:szCs w:val="21"/>
        </w:rPr>
        <w:t>Ready to use diluted F10 spray</w:t>
      </w:r>
      <w:r w:rsidR="00D22128">
        <w:rPr>
          <w:rFonts w:ascii="Tahoma" w:hAnsi="Tahoma" w:cs="Tahoma"/>
          <w:sz w:val="21"/>
          <w:szCs w:val="21"/>
        </w:rPr>
        <w:t xml:space="preserve"> bottles are </w:t>
      </w:r>
      <w:r w:rsidR="00492EA1">
        <w:rPr>
          <w:rFonts w:ascii="Tahoma" w:hAnsi="Tahoma" w:cs="Tahoma"/>
          <w:sz w:val="21"/>
          <w:szCs w:val="21"/>
        </w:rPr>
        <w:t xml:space="preserve">also </w:t>
      </w:r>
      <w:r w:rsidR="00D22128">
        <w:rPr>
          <w:rFonts w:ascii="Tahoma" w:hAnsi="Tahoma" w:cs="Tahoma"/>
          <w:sz w:val="21"/>
          <w:szCs w:val="21"/>
        </w:rPr>
        <w:t xml:space="preserve">commercially available at a dilution of 1:250. </w:t>
      </w:r>
      <w:r w:rsidRPr="005B6D27">
        <w:rPr>
          <w:rFonts w:ascii="Tahoma" w:hAnsi="Tahoma" w:cs="Tahoma"/>
          <w:sz w:val="21"/>
          <w:szCs w:val="21"/>
        </w:rPr>
        <w:t>F10 fog provides a quick, easy and effective disinfection of air spaces, all surfaces, walls</w:t>
      </w:r>
      <w:r w:rsidR="00E6755D">
        <w:rPr>
          <w:rFonts w:ascii="Tahoma" w:hAnsi="Tahoma" w:cs="Tahoma"/>
          <w:sz w:val="21"/>
          <w:szCs w:val="21"/>
        </w:rPr>
        <w:t>,</w:t>
      </w:r>
      <w:r w:rsidRPr="005B6D27">
        <w:rPr>
          <w:rFonts w:ascii="Tahoma" w:hAnsi="Tahoma" w:cs="Tahoma"/>
          <w:sz w:val="21"/>
          <w:szCs w:val="21"/>
        </w:rPr>
        <w:t xml:space="preserve"> ceilings and hard to reach places. </w:t>
      </w:r>
      <w:r w:rsidR="00DE2ACD">
        <w:rPr>
          <w:rFonts w:ascii="Tahoma" w:hAnsi="Tahoma" w:cs="Tahoma"/>
          <w:sz w:val="21"/>
          <w:szCs w:val="21"/>
        </w:rPr>
        <w:t>F10 aerosol foggers are commercially available as single use canisters for complete room disinfection (approximately 30 cubic meters).</w:t>
      </w:r>
    </w:p>
    <w:p w14:paraId="504687D6" w14:textId="77777777" w:rsidR="005B6D27" w:rsidRPr="005B6D27" w:rsidRDefault="005B6D27" w:rsidP="005B6D27">
      <w:pPr>
        <w:jc w:val="both"/>
        <w:outlineLvl w:val="0"/>
        <w:rPr>
          <w:rFonts w:ascii="Tahoma" w:hAnsi="Tahoma" w:cs="Tahoma"/>
          <w:i/>
          <w:sz w:val="21"/>
          <w:szCs w:val="21"/>
        </w:rPr>
      </w:pPr>
    </w:p>
    <w:p w14:paraId="0E6C58E4" w14:textId="77777777" w:rsidR="005B6D27" w:rsidRPr="005B6D27" w:rsidRDefault="005B6D27" w:rsidP="005B6D27">
      <w:pPr>
        <w:jc w:val="both"/>
        <w:outlineLvl w:val="0"/>
        <w:rPr>
          <w:rFonts w:ascii="Tahoma" w:hAnsi="Tahoma" w:cs="Tahoma"/>
          <w:sz w:val="21"/>
          <w:szCs w:val="21"/>
          <w:u w:val="single"/>
        </w:rPr>
      </w:pPr>
      <w:proofErr w:type="spellStart"/>
      <w:r w:rsidRPr="005B6D27">
        <w:rPr>
          <w:rFonts w:ascii="Tahoma" w:hAnsi="Tahoma" w:cs="Tahoma"/>
          <w:i/>
          <w:sz w:val="21"/>
          <w:szCs w:val="21"/>
          <w:u w:val="single"/>
        </w:rPr>
        <w:t>Virkon</w:t>
      </w:r>
      <w:proofErr w:type="spellEnd"/>
    </w:p>
    <w:p w14:paraId="6D9AD374" w14:textId="05B344CD" w:rsidR="005B6D27" w:rsidRPr="005B6D27" w:rsidRDefault="005B6D27" w:rsidP="005B6D27">
      <w:pPr>
        <w:jc w:val="both"/>
        <w:outlineLvl w:val="0"/>
        <w:rPr>
          <w:rFonts w:ascii="Tahoma" w:hAnsi="Tahoma" w:cs="Tahoma"/>
          <w:sz w:val="21"/>
          <w:szCs w:val="21"/>
        </w:rPr>
      </w:pPr>
      <w:proofErr w:type="spellStart"/>
      <w:r w:rsidRPr="005B6D27">
        <w:rPr>
          <w:rFonts w:ascii="Tahoma" w:hAnsi="Tahoma" w:cs="Tahoma"/>
          <w:sz w:val="21"/>
          <w:szCs w:val="21"/>
        </w:rPr>
        <w:t>Virkon</w:t>
      </w:r>
      <w:proofErr w:type="spellEnd"/>
      <w:r w:rsidRPr="005B6D27">
        <w:rPr>
          <w:rFonts w:ascii="Tahoma" w:hAnsi="Tahoma" w:cs="Tahoma"/>
          <w:sz w:val="21"/>
          <w:szCs w:val="21"/>
        </w:rPr>
        <w:t xml:space="preserve"> is a broad-spectrum disinfectant effective against a wide variety of viruses, bacteria, fungi and </w:t>
      </w:r>
      <w:proofErr w:type="spellStart"/>
      <w:r w:rsidRPr="005B6D27">
        <w:rPr>
          <w:rFonts w:ascii="Tahoma" w:hAnsi="Tahoma" w:cs="Tahoma"/>
          <w:sz w:val="21"/>
          <w:szCs w:val="21"/>
        </w:rPr>
        <w:t>mould</w:t>
      </w:r>
      <w:proofErr w:type="spellEnd"/>
      <w:r w:rsidRPr="005B6D27">
        <w:rPr>
          <w:rFonts w:ascii="Tahoma" w:hAnsi="Tahoma" w:cs="Tahoma"/>
          <w:sz w:val="21"/>
          <w:szCs w:val="21"/>
        </w:rPr>
        <w:t xml:space="preserve">. It is suitable for use in disinfecting laboratory benches and equipment. It must be made up to 1% </w:t>
      </w:r>
      <w:r w:rsidR="00E21C59">
        <w:rPr>
          <w:rFonts w:ascii="Tahoma" w:hAnsi="Tahoma" w:cs="Tahoma"/>
          <w:sz w:val="21"/>
          <w:szCs w:val="21"/>
        </w:rPr>
        <w:t xml:space="preserve">(w/v) </w:t>
      </w:r>
      <w:r w:rsidRPr="005B6D27">
        <w:rPr>
          <w:rFonts w:ascii="Tahoma" w:hAnsi="Tahoma" w:cs="Tahoma"/>
          <w:sz w:val="21"/>
          <w:szCs w:val="21"/>
        </w:rPr>
        <w:t xml:space="preserve">as described by the manufacturer. 1% </w:t>
      </w:r>
      <w:proofErr w:type="spellStart"/>
      <w:r w:rsidRPr="005B6D27">
        <w:rPr>
          <w:rFonts w:ascii="Tahoma" w:hAnsi="Tahoma" w:cs="Tahoma"/>
          <w:sz w:val="21"/>
          <w:szCs w:val="21"/>
        </w:rPr>
        <w:t>Virkon</w:t>
      </w:r>
      <w:proofErr w:type="spellEnd"/>
      <w:r w:rsidRPr="005B6D27">
        <w:rPr>
          <w:rFonts w:ascii="Tahoma" w:hAnsi="Tahoma" w:cs="Tahoma"/>
          <w:sz w:val="21"/>
          <w:szCs w:val="21"/>
        </w:rPr>
        <w:t xml:space="preserve"> solutions remain stable for up to seven days and are soil tolerant. The activity level of </w:t>
      </w:r>
      <w:proofErr w:type="spellStart"/>
      <w:r w:rsidRPr="005B6D27">
        <w:rPr>
          <w:rFonts w:ascii="Tahoma" w:hAnsi="Tahoma" w:cs="Tahoma"/>
          <w:sz w:val="21"/>
          <w:szCs w:val="21"/>
        </w:rPr>
        <w:t>Virkon</w:t>
      </w:r>
      <w:proofErr w:type="spellEnd"/>
      <w:r w:rsidRPr="005B6D27">
        <w:rPr>
          <w:rFonts w:ascii="Tahoma" w:hAnsi="Tahoma" w:cs="Tahoma"/>
          <w:sz w:val="21"/>
          <w:szCs w:val="21"/>
        </w:rPr>
        <w:t xml:space="preserve"> can be tracked by the degree of fading from pink to clear. For surface disinfection, a minimum 10-minute contact time is recommended. Although corrosive, </w:t>
      </w:r>
      <w:proofErr w:type="spellStart"/>
      <w:r w:rsidRPr="005B6D27">
        <w:rPr>
          <w:rFonts w:ascii="Tahoma" w:hAnsi="Tahoma" w:cs="Tahoma"/>
          <w:sz w:val="21"/>
          <w:szCs w:val="21"/>
        </w:rPr>
        <w:t>virkon</w:t>
      </w:r>
      <w:proofErr w:type="spellEnd"/>
      <w:r w:rsidRPr="005B6D27">
        <w:rPr>
          <w:rFonts w:ascii="Tahoma" w:hAnsi="Tahoma" w:cs="Tahoma"/>
          <w:sz w:val="21"/>
          <w:szCs w:val="21"/>
        </w:rPr>
        <w:t xml:space="preserve"> is not as corrosive as 1% bleach.</w:t>
      </w:r>
    </w:p>
    <w:p w14:paraId="3CD5EA85" w14:textId="77777777" w:rsidR="005B6D27" w:rsidRPr="005B6D27" w:rsidRDefault="005B6D27" w:rsidP="005B6D27">
      <w:pPr>
        <w:jc w:val="both"/>
        <w:outlineLvl w:val="0"/>
        <w:rPr>
          <w:rFonts w:ascii="Tahoma" w:hAnsi="Tahoma" w:cs="Tahoma"/>
          <w:i/>
          <w:sz w:val="21"/>
          <w:szCs w:val="21"/>
        </w:rPr>
      </w:pPr>
    </w:p>
    <w:p w14:paraId="67AF04EC" w14:textId="3CADA482" w:rsidR="005B6D27" w:rsidRPr="005B6D27" w:rsidRDefault="00F12E6D" w:rsidP="005B6D27">
      <w:pPr>
        <w:jc w:val="both"/>
        <w:outlineLvl w:val="0"/>
        <w:rPr>
          <w:rFonts w:ascii="Tahoma" w:hAnsi="Tahoma" w:cs="Tahoma"/>
          <w:i/>
          <w:sz w:val="21"/>
          <w:szCs w:val="21"/>
          <w:u w:val="single"/>
        </w:rPr>
      </w:pPr>
      <w:r>
        <w:rPr>
          <w:rFonts w:ascii="Tahoma" w:hAnsi="Tahoma" w:cs="Tahoma"/>
          <w:i/>
          <w:sz w:val="21"/>
          <w:szCs w:val="21"/>
          <w:u w:val="single"/>
        </w:rPr>
        <w:t>1% Sodium Hypochlorite (1% Bleach)</w:t>
      </w:r>
    </w:p>
    <w:p w14:paraId="405CAE45" w14:textId="1A0428C5" w:rsidR="005B6D27" w:rsidRPr="005B6D27" w:rsidRDefault="00F12E6D" w:rsidP="005B6D27">
      <w:pPr>
        <w:jc w:val="both"/>
        <w:outlineLvl w:val="0"/>
        <w:rPr>
          <w:rFonts w:ascii="Tahoma" w:hAnsi="Tahoma" w:cs="Tahoma"/>
          <w:sz w:val="21"/>
          <w:szCs w:val="21"/>
        </w:rPr>
      </w:pPr>
      <w:r>
        <w:rPr>
          <w:rFonts w:ascii="Tahoma" w:hAnsi="Tahoma" w:cs="Tahoma"/>
          <w:sz w:val="21"/>
          <w:szCs w:val="21"/>
        </w:rPr>
        <w:t>Sodium hypochlorite</w:t>
      </w:r>
      <w:r w:rsidR="005B6D27" w:rsidRPr="005B6D27">
        <w:rPr>
          <w:rFonts w:ascii="Tahoma" w:hAnsi="Tahoma" w:cs="Tahoma"/>
          <w:sz w:val="21"/>
          <w:szCs w:val="21"/>
        </w:rPr>
        <w:t xml:space="preserve"> can be used to disinfect large liquid cultures and it is recommended that cultures </w:t>
      </w:r>
      <w:r>
        <w:rPr>
          <w:rFonts w:ascii="Tahoma" w:hAnsi="Tahoma" w:cs="Tahoma"/>
          <w:sz w:val="21"/>
          <w:szCs w:val="21"/>
        </w:rPr>
        <w:t xml:space="preserve">be </w:t>
      </w:r>
      <w:r w:rsidR="008C4087">
        <w:rPr>
          <w:rFonts w:ascii="Tahoma" w:hAnsi="Tahoma" w:cs="Tahoma"/>
          <w:sz w:val="21"/>
          <w:szCs w:val="21"/>
        </w:rPr>
        <w:t xml:space="preserve">made </w:t>
      </w:r>
      <w:r>
        <w:rPr>
          <w:rFonts w:ascii="Tahoma" w:hAnsi="Tahoma" w:cs="Tahoma"/>
          <w:sz w:val="21"/>
          <w:szCs w:val="21"/>
        </w:rPr>
        <w:t>up to at least 1% sodium hypochlorite (10000 ppm available chlorine)</w:t>
      </w:r>
      <w:r w:rsidR="005B6D27" w:rsidRPr="005B6D27">
        <w:rPr>
          <w:rFonts w:ascii="Tahoma" w:hAnsi="Tahoma" w:cs="Tahoma"/>
          <w:sz w:val="21"/>
          <w:szCs w:val="21"/>
        </w:rPr>
        <w:t xml:space="preserve"> and held for at least 1</w:t>
      </w:r>
      <w:r>
        <w:rPr>
          <w:rFonts w:ascii="Tahoma" w:hAnsi="Tahoma" w:cs="Tahoma"/>
          <w:sz w:val="21"/>
          <w:szCs w:val="21"/>
        </w:rPr>
        <w:t xml:space="preserve"> hour before disposal. </w:t>
      </w:r>
      <w:r w:rsidR="00E21C59">
        <w:rPr>
          <w:rFonts w:ascii="Tahoma" w:hAnsi="Tahoma" w:cs="Tahoma"/>
          <w:sz w:val="21"/>
          <w:szCs w:val="21"/>
        </w:rPr>
        <w:t xml:space="preserve">Commercially-available hypochlorite </w:t>
      </w:r>
      <w:r w:rsidR="00032970">
        <w:rPr>
          <w:rFonts w:ascii="Tahoma" w:hAnsi="Tahoma" w:cs="Tahoma"/>
          <w:sz w:val="21"/>
          <w:szCs w:val="21"/>
        </w:rPr>
        <w:t xml:space="preserve">solutions can range from 4% to 12.5% available chlorine, so must be checked when diluting. </w:t>
      </w:r>
      <w:r>
        <w:rPr>
          <w:rFonts w:ascii="Tahoma" w:hAnsi="Tahoma" w:cs="Tahoma"/>
          <w:sz w:val="21"/>
          <w:szCs w:val="21"/>
        </w:rPr>
        <w:t>1% sodium hypochlorite</w:t>
      </w:r>
      <w:r w:rsidR="005B6D27" w:rsidRPr="005B6D27">
        <w:rPr>
          <w:rFonts w:ascii="Tahoma" w:hAnsi="Tahoma" w:cs="Tahoma"/>
          <w:sz w:val="21"/>
          <w:szCs w:val="21"/>
        </w:rPr>
        <w:t xml:space="preserve"> is not recommended for surface decontamination but if used must be made fresh every</w:t>
      </w:r>
      <w:r w:rsidR="00032970">
        <w:rPr>
          <w:rFonts w:ascii="Tahoma" w:hAnsi="Tahoma" w:cs="Tahoma"/>
          <w:sz w:val="21"/>
          <w:szCs w:val="21"/>
        </w:rPr>
        <w:t xml:space="preserve"> </w:t>
      </w:r>
      <w:r w:rsidR="005B6D27" w:rsidRPr="005B6D27">
        <w:rPr>
          <w:rFonts w:ascii="Tahoma" w:hAnsi="Tahoma" w:cs="Tahoma"/>
          <w:sz w:val="21"/>
          <w:szCs w:val="21"/>
        </w:rPr>
        <w:t>day.</w:t>
      </w:r>
    </w:p>
    <w:p w14:paraId="3E96736B" w14:textId="77777777" w:rsidR="005B6D27" w:rsidRPr="005B6D27" w:rsidRDefault="005B6D27" w:rsidP="005B6D27">
      <w:pPr>
        <w:jc w:val="both"/>
        <w:outlineLvl w:val="0"/>
        <w:rPr>
          <w:rFonts w:ascii="Tahoma" w:hAnsi="Tahoma" w:cs="Tahoma"/>
          <w:b/>
          <w:sz w:val="21"/>
          <w:szCs w:val="21"/>
        </w:rPr>
      </w:pPr>
    </w:p>
    <w:p w14:paraId="207228BB" w14:textId="77777777" w:rsidR="005B6D27" w:rsidRPr="005B6D27" w:rsidRDefault="005B6D27" w:rsidP="005B6D27">
      <w:pPr>
        <w:jc w:val="both"/>
        <w:outlineLvl w:val="0"/>
        <w:rPr>
          <w:rFonts w:ascii="Tahoma" w:hAnsi="Tahoma" w:cs="Tahoma"/>
          <w:b/>
          <w:sz w:val="21"/>
          <w:szCs w:val="21"/>
        </w:rPr>
      </w:pPr>
      <w:r w:rsidRPr="005B6D27">
        <w:rPr>
          <w:rFonts w:ascii="Tahoma" w:hAnsi="Tahoma" w:cs="Tahoma"/>
          <w:b/>
          <w:sz w:val="21"/>
          <w:szCs w:val="21"/>
        </w:rPr>
        <w:t>Decontaminating laboratory walls and floors</w:t>
      </w:r>
    </w:p>
    <w:p w14:paraId="367C9503" w14:textId="77777777" w:rsidR="005B6D27" w:rsidRPr="005B6D27" w:rsidRDefault="005B6D27" w:rsidP="005B6D27">
      <w:pPr>
        <w:jc w:val="both"/>
        <w:outlineLvl w:val="0"/>
        <w:rPr>
          <w:rFonts w:ascii="Tahoma" w:hAnsi="Tahoma" w:cs="Tahoma"/>
          <w:sz w:val="21"/>
          <w:szCs w:val="21"/>
        </w:rPr>
      </w:pPr>
    </w:p>
    <w:p w14:paraId="5B8C3DD8" w14:textId="74F2CB10" w:rsidR="000C27C6" w:rsidRPr="005B6D27" w:rsidRDefault="005B6D27" w:rsidP="00E670F0">
      <w:pPr>
        <w:jc w:val="both"/>
        <w:outlineLvl w:val="0"/>
      </w:pPr>
      <w:r w:rsidRPr="005B6D27">
        <w:rPr>
          <w:rFonts w:ascii="Tahoma" w:hAnsi="Tahoma" w:cs="Tahoma"/>
          <w:sz w:val="21"/>
          <w:szCs w:val="21"/>
        </w:rPr>
        <w:t>F10 or household disinfectant</w:t>
      </w:r>
      <w:r w:rsidR="00C979EB">
        <w:rPr>
          <w:rFonts w:ascii="Tahoma" w:hAnsi="Tahoma" w:cs="Tahoma"/>
          <w:sz w:val="21"/>
          <w:szCs w:val="21"/>
        </w:rPr>
        <w:t xml:space="preserve"> s</w:t>
      </w:r>
      <w:r w:rsidRPr="005B6D27">
        <w:rPr>
          <w:rFonts w:ascii="Tahoma" w:hAnsi="Tahoma" w:cs="Tahoma"/>
          <w:sz w:val="21"/>
          <w:szCs w:val="21"/>
        </w:rPr>
        <w:t>hould be used to wipe down or mop large surface areas such as laboratory walls and floors. Do not use 80% ethanol as its flammability and fumes pose a health hazard for the person carrying out the decontamination. Similarly, bleach is not recommended for large-scale decontamination because the resulting chlorine fumes are a health hazard.</w:t>
      </w:r>
    </w:p>
    <w:sectPr w:rsidR="000C27C6" w:rsidRPr="005B6D27" w:rsidSect="00D42076">
      <w:headerReference w:type="default" r:id="rId9"/>
      <w:footerReference w:type="default" r:id="rId10"/>
      <w:headerReference w:type="first" r:id="rId11"/>
      <w:footerReference w:type="first" r:id="rId12"/>
      <w:pgSz w:w="11906" w:h="16838" w:code="9"/>
      <w:pgMar w:top="1985" w:right="1287" w:bottom="1134" w:left="1077" w:header="0"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B8BFD" w14:textId="77777777" w:rsidR="008C4087" w:rsidRDefault="008C4087" w:rsidP="00342588">
      <w:r>
        <w:separator/>
      </w:r>
    </w:p>
  </w:endnote>
  <w:endnote w:type="continuationSeparator" w:id="0">
    <w:p w14:paraId="30795F98" w14:textId="77777777" w:rsidR="008C4087" w:rsidRDefault="008C4087" w:rsidP="0034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6A3C4" w14:textId="77777777" w:rsidR="008C4087" w:rsidRPr="0048008C" w:rsidRDefault="008C4087" w:rsidP="003F2057">
    <w:pPr>
      <w:pStyle w:val="Footer"/>
      <w:rPr>
        <w:szCs w:val="16"/>
      </w:rPr>
    </w:pPr>
    <w:r w:rsidRPr="001F749C">
      <w:rPr>
        <w:szCs w:val="16"/>
      </w:rPr>
      <w:fldChar w:fldCharType="begin"/>
    </w:r>
    <w:r w:rsidRPr="001F749C">
      <w:rPr>
        <w:szCs w:val="16"/>
      </w:rPr>
      <w:instrText xml:space="preserve"> PAGE   \* MERGEFORMAT </w:instrText>
    </w:r>
    <w:r w:rsidRPr="001F749C">
      <w:rPr>
        <w:szCs w:val="16"/>
      </w:rPr>
      <w:fldChar w:fldCharType="separate"/>
    </w:r>
    <w:r w:rsidR="00E670F0" w:rsidRPr="00E670F0">
      <w:rPr>
        <w:noProof/>
      </w:rPr>
      <w:t>2</w:t>
    </w:r>
    <w:r w:rsidRPr="001F749C">
      <w:rPr>
        <w:szCs w:val="16"/>
      </w:rPr>
      <w:fldChar w:fldCharType="end"/>
    </w:r>
    <w:r w:rsidRPr="001F749C">
      <w:rPr>
        <w:szCs w:val="16"/>
      </w:rPr>
      <w:t xml:space="preserve">  </w:t>
    </w:r>
    <w:proofErr w:type="gramStart"/>
    <w:r w:rsidRPr="001F749C">
      <w:rPr>
        <w:szCs w:val="16"/>
      </w:rPr>
      <w:t xml:space="preserve">|  </w:t>
    </w:r>
    <w:r>
      <w:rPr>
        <w:spacing w:val="40"/>
        <w:szCs w:val="16"/>
      </w:rPr>
      <w:t>ANU</w:t>
    </w:r>
    <w:proofErr w:type="gramEnd"/>
    <w:r>
      <w:rPr>
        <w:spacing w:val="40"/>
        <w:szCs w:val="16"/>
      </w:rPr>
      <w:t xml:space="preserve"> Research Services, Office of Research Integrity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2EC84" w14:textId="77777777" w:rsidR="008C4087" w:rsidRPr="001F749C" w:rsidRDefault="008C4087" w:rsidP="00342588">
    <w:pPr>
      <w:pStyle w:val="Footer"/>
      <w:rPr>
        <w:szCs w:val="16"/>
      </w:rPr>
    </w:pPr>
    <w:r w:rsidRPr="001F749C">
      <w:rPr>
        <w:szCs w:val="16"/>
      </w:rPr>
      <w:fldChar w:fldCharType="begin"/>
    </w:r>
    <w:r w:rsidRPr="001F749C">
      <w:rPr>
        <w:szCs w:val="16"/>
      </w:rPr>
      <w:instrText xml:space="preserve"> PAGE   \* MERGEFORMAT </w:instrText>
    </w:r>
    <w:r w:rsidRPr="001F749C">
      <w:rPr>
        <w:szCs w:val="16"/>
      </w:rPr>
      <w:fldChar w:fldCharType="separate"/>
    </w:r>
    <w:r w:rsidR="00507844" w:rsidRPr="00507844">
      <w:rPr>
        <w:noProof/>
      </w:rPr>
      <w:t>1</w:t>
    </w:r>
    <w:r w:rsidRPr="001F749C">
      <w:rPr>
        <w:szCs w:val="16"/>
      </w:rPr>
      <w:fldChar w:fldCharType="end"/>
    </w:r>
    <w:r>
      <w:rPr>
        <w:szCs w:val="16"/>
      </w:rPr>
      <w:t xml:space="preserve">  </w:t>
    </w:r>
    <w:proofErr w:type="gramStart"/>
    <w:r>
      <w:rPr>
        <w:szCs w:val="16"/>
      </w:rPr>
      <w:t xml:space="preserve">|  </w:t>
    </w:r>
    <w:r>
      <w:rPr>
        <w:spacing w:val="40"/>
        <w:szCs w:val="16"/>
      </w:rPr>
      <w:t>THE</w:t>
    </w:r>
    <w:proofErr w:type="gramEnd"/>
    <w:r w:rsidRPr="00C82E22">
      <w:rPr>
        <w:spacing w:val="40"/>
        <w:szCs w:val="16"/>
      </w:rPr>
      <w:t xml:space="preserve"> AUSTRALIAN</w:t>
    </w:r>
    <w:r>
      <w:rPr>
        <w:spacing w:val="40"/>
        <w:szCs w:val="16"/>
      </w:rPr>
      <w:t xml:space="preserve"> </w:t>
    </w:r>
    <w:r w:rsidRPr="00C82E22">
      <w:rPr>
        <w:spacing w:val="40"/>
        <w:szCs w:val="16"/>
      </w:rPr>
      <w:t>NATIONAL</w:t>
    </w:r>
    <w:r>
      <w:rPr>
        <w:spacing w:val="40"/>
        <w:szCs w:val="16"/>
      </w:rPr>
      <w:t xml:space="preserve"> </w:t>
    </w:r>
    <w:r w:rsidRPr="00C82E22">
      <w:rPr>
        <w:spacing w:val="40"/>
        <w:szCs w:val="16"/>
      </w:rPr>
      <w:t>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416F4" w14:textId="77777777" w:rsidR="008C4087" w:rsidRDefault="008C4087" w:rsidP="00342588">
      <w:r>
        <w:separator/>
      </w:r>
    </w:p>
  </w:footnote>
  <w:footnote w:type="continuationSeparator" w:id="0">
    <w:p w14:paraId="23D1B16A" w14:textId="77777777" w:rsidR="008C4087" w:rsidRDefault="008C4087" w:rsidP="00342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B0F6" w14:textId="77777777" w:rsidR="008C4087" w:rsidRPr="004418F4" w:rsidRDefault="008C4087" w:rsidP="00342588">
    <w:pPr>
      <w:pStyle w:val="Header"/>
      <w:rPr>
        <w:spacing w:val="40"/>
      </w:rPr>
    </w:pPr>
  </w:p>
  <w:p w14:paraId="723FB6B7" w14:textId="77777777" w:rsidR="008C4087" w:rsidRPr="004418F4" w:rsidRDefault="008C4087" w:rsidP="00342588">
    <w:pPr>
      <w:pStyle w:val="Header"/>
      <w:rPr>
        <w:spacing w:val="40"/>
      </w:rPr>
    </w:pPr>
  </w:p>
  <w:p w14:paraId="11517329" w14:textId="77777777" w:rsidR="008C4087" w:rsidRPr="004418F4" w:rsidRDefault="008C4087" w:rsidP="00342588">
    <w:pPr>
      <w:pStyle w:val="Header"/>
      <w:rPr>
        <w:spacing w:val="40"/>
      </w:rPr>
    </w:pPr>
  </w:p>
  <w:p w14:paraId="7CBB95ED" w14:textId="77777777" w:rsidR="008C4087" w:rsidRPr="004418F4" w:rsidRDefault="008C4087" w:rsidP="00342588">
    <w:pPr>
      <w:pStyle w:val="Header"/>
      <w:rPr>
        <w:spacing w:val="40"/>
      </w:rPr>
    </w:pPr>
  </w:p>
  <w:p w14:paraId="4373A17B" w14:textId="77777777" w:rsidR="008C4087" w:rsidRPr="004418F4" w:rsidRDefault="008C4087" w:rsidP="00342588">
    <w:pPr>
      <w:pStyle w:val="Header"/>
      <w:rPr>
        <w:spacing w:val="40"/>
      </w:rPr>
    </w:pPr>
  </w:p>
  <w:p w14:paraId="4606B33D" w14:textId="00DFCEAE" w:rsidR="008C4087" w:rsidRPr="004418F4" w:rsidRDefault="00055FDD" w:rsidP="003C31A0">
    <w:pPr>
      <w:pStyle w:val="Header"/>
      <w:rPr>
        <w:spacing w:val="40"/>
      </w:rPr>
    </w:pPr>
    <w:r>
      <w:rPr>
        <w:spacing w:val="40"/>
      </w:rPr>
      <w:t xml:space="preserve">IBC Guidelines on Facility/Laboratory Decontamination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73510" w14:textId="77777777" w:rsidR="008C4087" w:rsidRPr="00BD3FC1" w:rsidRDefault="008C4087" w:rsidP="00342588">
    <w:pPr>
      <w:pStyle w:val="Header"/>
      <w:ind w:left="-1080"/>
      <w:rPr>
        <w:lang w:val="en-AU"/>
      </w:rPr>
    </w:pPr>
    <w:r>
      <w:rPr>
        <w:noProof/>
        <w:lang w:val="en-AU" w:eastAsia="en-AU" w:bidi="ar-SA"/>
      </w:rPr>
      <w:drawing>
        <wp:inline distT="0" distB="0" distL="0" distR="0" wp14:anchorId="11A51E42" wp14:editId="06868E9D">
          <wp:extent cx="7543800" cy="1371600"/>
          <wp:effectExtent l="0" t="0" r="0" b="0"/>
          <wp:docPr id="2" name="Picture 2"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AFC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C609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8263C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6C89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A6626B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CBE4A17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DC4B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0A291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2AB6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A4AA77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C06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AD09D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146DA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C8624F"/>
    <w:multiLevelType w:val="hybridMultilevel"/>
    <w:tmpl w:val="E6A85AC8"/>
    <w:lvl w:ilvl="0" w:tplc="03B467C6">
      <w:start w:val="1"/>
      <w:numFmt w:val="decimal"/>
      <w:lvlText w:val="%1."/>
      <w:lvlJc w:val="left"/>
      <w:pPr>
        <w:ind w:left="720" w:hanging="360"/>
      </w:pPr>
      <w:rPr>
        <w:rFonts w:hint="default"/>
      </w:rPr>
    </w:lvl>
    <w:lvl w:ilvl="1" w:tplc="7A98905C" w:tentative="1">
      <w:start w:val="1"/>
      <w:numFmt w:val="lowerLetter"/>
      <w:lvlText w:val="%2."/>
      <w:lvlJc w:val="left"/>
      <w:pPr>
        <w:ind w:left="1440" w:hanging="360"/>
      </w:pPr>
    </w:lvl>
    <w:lvl w:ilvl="2" w:tplc="917EF258" w:tentative="1">
      <w:start w:val="1"/>
      <w:numFmt w:val="lowerRoman"/>
      <w:lvlText w:val="%3."/>
      <w:lvlJc w:val="right"/>
      <w:pPr>
        <w:ind w:left="2160" w:hanging="180"/>
      </w:pPr>
    </w:lvl>
    <w:lvl w:ilvl="3" w:tplc="D90AF35C" w:tentative="1">
      <w:start w:val="1"/>
      <w:numFmt w:val="decimal"/>
      <w:lvlText w:val="%4."/>
      <w:lvlJc w:val="left"/>
      <w:pPr>
        <w:ind w:left="2880" w:hanging="360"/>
      </w:pPr>
    </w:lvl>
    <w:lvl w:ilvl="4" w:tplc="AED25682" w:tentative="1">
      <w:start w:val="1"/>
      <w:numFmt w:val="lowerLetter"/>
      <w:lvlText w:val="%5."/>
      <w:lvlJc w:val="left"/>
      <w:pPr>
        <w:ind w:left="3600" w:hanging="360"/>
      </w:pPr>
    </w:lvl>
    <w:lvl w:ilvl="5" w:tplc="4FE0A6C4" w:tentative="1">
      <w:start w:val="1"/>
      <w:numFmt w:val="lowerRoman"/>
      <w:lvlText w:val="%6."/>
      <w:lvlJc w:val="right"/>
      <w:pPr>
        <w:ind w:left="4320" w:hanging="180"/>
      </w:pPr>
    </w:lvl>
    <w:lvl w:ilvl="6" w:tplc="3ADEB13C" w:tentative="1">
      <w:start w:val="1"/>
      <w:numFmt w:val="decimal"/>
      <w:lvlText w:val="%7."/>
      <w:lvlJc w:val="left"/>
      <w:pPr>
        <w:ind w:left="5040" w:hanging="360"/>
      </w:pPr>
    </w:lvl>
    <w:lvl w:ilvl="7" w:tplc="CAAA4FA2" w:tentative="1">
      <w:start w:val="1"/>
      <w:numFmt w:val="lowerLetter"/>
      <w:lvlText w:val="%8."/>
      <w:lvlJc w:val="left"/>
      <w:pPr>
        <w:ind w:left="5760" w:hanging="360"/>
      </w:pPr>
    </w:lvl>
    <w:lvl w:ilvl="8" w:tplc="8FE007F6" w:tentative="1">
      <w:start w:val="1"/>
      <w:numFmt w:val="lowerRoman"/>
      <w:lvlText w:val="%9."/>
      <w:lvlJc w:val="right"/>
      <w:pPr>
        <w:ind w:left="6480" w:hanging="180"/>
      </w:pPr>
    </w:lvl>
  </w:abstractNum>
  <w:abstractNum w:abstractNumId="14" w15:restartNumberingAfterBreak="0">
    <w:nsid w:val="18D561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E1157F"/>
    <w:multiLevelType w:val="multilevel"/>
    <w:tmpl w:val="B226D2CA"/>
    <w:numStyleLink w:val="ANUTOC"/>
  </w:abstractNum>
  <w:abstractNum w:abstractNumId="16" w15:restartNumberingAfterBreak="0">
    <w:nsid w:val="19B726F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3F76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C8519E"/>
    <w:multiLevelType w:val="multilevel"/>
    <w:tmpl w:val="4D8E9F74"/>
    <w:lvl w:ilvl="0">
      <w:start w:val="1"/>
      <w:numFmt w:val="decimal"/>
      <w:pStyle w:val="ANUList"/>
      <w:lvlText w:val="%1."/>
      <w:lvlJc w:val="left"/>
      <w:pPr>
        <w:ind w:left="1362" w:hanging="369"/>
      </w:pPr>
      <w:rPr>
        <w:rFonts w:hint="default"/>
      </w:rPr>
    </w:lvl>
    <w:lvl w:ilvl="1">
      <w:start w:val="1"/>
      <w:numFmt w:val="decimal"/>
      <w:lvlText w:val="%1.%2"/>
      <w:lvlJc w:val="left"/>
      <w:pPr>
        <w:ind w:left="738" w:hanging="369"/>
      </w:pPr>
      <w:rPr>
        <w:rFonts w:hint="default"/>
      </w:rPr>
    </w:lvl>
    <w:lvl w:ilvl="2">
      <w:start w:val="1"/>
      <w:numFmt w:val="decimal"/>
      <w:lvlText w:val="%1.%2.%3."/>
      <w:lvlJc w:val="left"/>
      <w:pPr>
        <w:ind w:left="1107" w:hanging="369"/>
      </w:pPr>
      <w:rPr>
        <w:rFonts w:hint="default"/>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19" w15:restartNumberingAfterBreak="0">
    <w:nsid w:val="3E8403A7"/>
    <w:multiLevelType w:val="multilevel"/>
    <w:tmpl w:val="B3FEB2D0"/>
    <w:lvl w:ilvl="0">
      <w:start w:val="1"/>
      <w:numFmt w:val="decimal"/>
      <w:pStyle w:val="Heading1"/>
      <w:lvlText w:val="Part %1."/>
      <w:lvlJc w:val="left"/>
      <w:pPr>
        <w:ind w:left="360" w:hanging="360"/>
      </w:pPr>
      <w:rPr>
        <w:rFonts w:hint="default"/>
      </w:r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8C31F7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5C4C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4E6E5F"/>
    <w:multiLevelType w:val="hybridMultilevel"/>
    <w:tmpl w:val="8230F59E"/>
    <w:lvl w:ilvl="0" w:tplc="15D4BAD2">
      <w:start w:val="1"/>
      <w:numFmt w:val="decimal"/>
      <w:pStyle w:val="Heading2"/>
      <w:lvlText w:val="ITEM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DE7155"/>
    <w:multiLevelType w:val="multilevel"/>
    <w:tmpl w:val="B226D2CA"/>
    <w:styleLink w:val="ANUTOC"/>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395F84"/>
    <w:multiLevelType w:val="multilevel"/>
    <w:tmpl w:val="310277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9B25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0806C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C75B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4B3F62"/>
    <w:multiLevelType w:val="multilevel"/>
    <w:tmpl w:val="B226D2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3"/>
  </w:num>
  <w:num w:numId="3">
    <w:abstractNumId w:val="12"/>
  </w:num>
  <w:num w:numId="4">
    <w:abstractNumId w:val="20"/>
  </w:num>
  <w:num w:numId="5">
    <w:abstractNumId w:val="21"/>
  </w:num>
  <w:num w:numId="6">
    <w:abstractNumId w:val="16"/>
  </w:num>
  <w:num w:numId="7">
    <w:abstractNumId w:val="10"/>
  </w:num>
  <w:num w:numId="8">
    <w:abstractNumId w:val="27"/>
  </w:num>
  <w:num w:numId="9">
    <w:abstractNumId w:val="17"/>
  </w:num>
  <w:num w:numId="10">
    <w:abstractNumId w:val="2"/>
  </w:num>
  <w:num w:numId="11">
    <w:abstractNumId w:val="9"/>
  </w:num>
  <w:num w:numId="12">
    <w:abstractNumId w:val="8"/>
  </w:num>
  <w:num w:numId="13">
    <w:abstractNumId w:val="7"/>
  </w:num>
  <w:num w:numId="14">
    <w:abstractNumId w:val="6"/>
  </w:num>
  <w:num w:numId="15">
    <w:abstractNumId w:val="5"/>
  </w:num>
  <w:num w:numId="16">
    <w:abstractNumId w:val="26"/>
  </w:num>
  <w:num w:numId="17">
    <w:abstractNumId w:val="4"/>
  </w:num>
  <w:num w:numId="18">
    <w:abstractNumId w:val="3"/>
  </w:num>
  <w:num w:numId="19">
    <w:abstractNumId w:val="1"/>
  </w:num>
  <w:num w:numId="20">
    <w:abstractNumId w:val="18"/>
  </w:num>
  <w:num w:numId="21">
    <w:abstractNumId w:val="14"/>
  </w:num>
  <w:num w:numId="22">
    <w:abstractNumId w:val="25"/>
  </w:num>
  <w:num w:numId="23">
    <w:abstractNumId w:val="28"/>
  </w:num>
  <w:num w:numId="24">
    <w:abstractNumId w:val="23"/>
  </w:num>
  <w:num w:numId="25">
    <w:abstractNumId w:val="15"/>
  </w:num>
  <w:num w:numId="26">
    <w:abstractNumId w:val="19"/>
  </w:num>
  <w:num w:numId="27">
    <w:abstractNumId w:val="2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04"/>
    <w:rsid w:val="00012A27"/>
    <w:rsid w:val="00032970"/>
    <w:rsid w:val="000425F9"/>
    <w:rsid w:val="0004369B"/>
    <w:rsid w:val="0004379F"/>
    <w:rsid w:val="00052916"/>
    <w:rsid w:val="00055FDD"/>
    <w:rsid w:val="0006717D"/>
    <w:rsid w:val="000712E7"/>
    <w:rsid w:val="00077CCC"/>
    <w:rsid w:val="0008433D"/>
    <w:rsid w:val="000C27C6"/>
    <w:rsid w:val="000C3748"/>
    <w:rsid w:val="000E19EF"/>
    <w:rsid w:val="0011364F"/>
    <w:rsid w:val="00134C04"/>
    <w:rsid w:val="00150C04"/>
    <w:rsid w:val="00171197"/>
    <w:rsid w:val="0017197B"/>
    <w:rsid w:val="0019714D"/>
    <w:rsid w:val="001A30AD"/>
    <w:rsid w:val="001A796C"/>
    <w:rsid w:val="001C5F46"/>
    <w:rsid w:val="001F3DD7"/>
    <w:rsid w:val="00211630"/>
    <w:rsid w:val="00214CE7"/>
    <w:rsid w:val="00222237"/>
    <w:rsid w:val="00223B6F"/>
    <w:rsid w:val="00225E7B"/>
    <w:rsid w:val="00246F3D"/>
    <w:rsid w:val="00257EF0"/>
    <w:rsid w:val="00276CCA"/>
    <w:rsid w:val="00280C64"/>
    <w:rsid w:val="002B1EE7"/>
    <w:rsid w:val="002E1A20"/>
    <w:rsid w:val="00300ED4"/>
    <w:rsid w:val="00305FCF"/>
    <w:rsid w:val="00312AEE"/>
    <w:rsid w:val="00313009"/>
    <w:rsid w:val="003417EE"/>
    <w:rsid w:val="00342588"/>
    <w:rsid w:val="003623B6"/>
    <w:rsid w:val="003733D3"/>
    <w:rsid w:val="003941EA"/>
    <w:rsid w:val="003A37B1"/>
    <w:rsid w:val="003C31A0"/>
    <w:rsid w:val="003F2057"/>
    <w:rsid w:val="00406A35"/>
    <w:rsid w:val="004504E7"/>
    <w:rsid w:val="00492EA1"/>
    <w:rsid w:val="0049457F"/>
    <w:rsid w:val="00495431"/>
    <w:rsid w:val="004A6F41"/>
    <w:rsid w:val="004B01D6"/>
    <w:rsid w:val="004B14EF"/>
    <w:rsid w:val="004C600E"/>
    <w:rsid w:val="00502D24"/>
    <w:rsid w:val="00507844"/>
    <w:rsid w:val="00524CA7"/>
    <w:rsid w:val="00526977"/>
    <w:rsid w:val="005B6D27"/>
    <w:rsid w:val="005C2879"/>
    <w:rsid w:val="00605113"/>
    <w:rsid w:val="0061199E"/>
    <w:rsid w:val="00653166"/>
    <w:rsid w:val="00671BCA"/>
    <w:rsid w:val="006778D9"/>
    <w:rsid w:val="00680FE5"/>
    <w:rsid w:val="00712754"/>
    <w:rsid w:val="007240B7"/>
    <w:rsid w:val="0073206B"/>
    <w:rsid w:val="007609BD"/>
    <w:rsid w:val="007A574F"/>
    <w:rsid w:val="007A6945"/>
    <w:rsid w:val="007A7416"/>
    <w:rsid w:val="007E71B5"/>
    <w:rsid w:val="007E74B0"/>
    <w:rsid w:val="007E76FF"/>
    <w:rsid w:val="00802278"/>
    <w:rsid w:val="00804D00"/>
    <w:rsid w:val="008306FE"/>
    <w:rsid w:val="00854F96"/>
    <w:rsid w:val="00880FD7"/>
    <w:rsid w:val="00892342"/>
    <w:rsid w:val="008A1404"/>
    <w:rsid w:val="008B0BFB"/>
    <w:rsid w:val="008C4087"/>
    <w:rsid w:val="008E0ADE"/>
    <w:rsid w:val="008E1329"/>
    <w:rsid w:val="008E7E9F"/>
    <w:rsid w:val="008F543A"/>
    <w:rsid w:val="008F5B07"/>
    <w:rsid w:val="00903BC8"/>
    <w:rsid w:val="00906E26"/>
    <w:rsid w:val="009213CC"/>
    <w:rsid w:val="00921CE7"/>
    <w:rsid w:val="00945A33"/>
    <w:rsid w:val="00953DF7"/>
    <w:rsid w:val="00967499"/>
    <w:rsid w:val="009975C9"/>
    <w:rsid w:val="009A4BCD"/>
    <w:rsid w:val="009D0CE1"/>
    <w:rsid w:val="009D529C"/>
    <w:rsid w:val="009E6F4D"/>
    <w:rsid w:val="009F02C0"/>
    <w:rsid w:val="00A94A6D"/>
    <w:rsid w:val="00AB4ED0"/>
    <w:rsid w:val="00AE6100"/>
    <w:rsid w:val="00B214DF"/>
    <w:rsid w:val="00B458F5"/>
    <w:rsid w:val="00B51A95"/>
    <w:rsid w:val="00B66FED"/>
    <w:rsid w:val="00B82131"/>
    <w:rsid w:val="00B855EA"/>
    <w:rsid w:val="00B96812"/>
    <w:rsid w:val="00BB352C"/>
    <w:rsid w:val="00BF4C19"/>
    <w:rsid w:val="00C21C5D"/>
    <w:rsid w:val="00C24899"/>
    <w:rsid w:val="00C34009"/>
    <w:rsid w:val="00C841DB"/>
    <w:rsid w:val="00C87412"/>
    <w:rsid w:val="00C979EB"/>
    <w:rsid w:val="00CC14E6"/>
    <w:rsid w:val="00CF33D9"/>
    <w:rsid w:val="00CF7564"/>
    <w:rsid w:val="00D22128"/>
    <w:rsid w:val="00D42076"/>
    <w:rsid w:val="00D93FD4"/>
    <w:rsid w:val="00D96CE9"/>
    <w:rsid w:val="00DC4751"/>
    <w:rsid w:val="00DC5C9A"/>
    <w:rsid w:val="00DD524F"/>
    <w:rsid w:val="00DE2ACD"/>
    <w:rsid w:val="00E21C59"/>
    <w:rsid w:val="00E5290E"/>
    <w:rsid w:val="00E670F0"/>
    <w:rsid w:val="00E6755D"/>
    <w:rsid w:val="00E73472"/>
    <w:rsid w:val="00EC0F27"/>
    <w:rsid w:val="00EE09BA"/>
    <w:rsid w:val="00F07191"/>
    <w:rsid w:val="00F12E6D"/>
    <w:rsid w:val="00F4038B"/>
    <w:rsid w:val="00F7360A"/>
    <w:rsid w:val="00F75621"/>
    <w:rsid w:val="00F76630"/>
    <w:rsid w:val="00F92A7E"/>
    <w:rsid w:val="00FE3F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29469EA"/>
  <w15:docId w15:val="{C813BC3B-166E-4406-B500-30D04340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04E"/>
    <w:rPr>
      <w:szCs w:val="22"/>
      <w:lang w:val="en-US" w:bidi="en-US"/>
    </w:rPr>
  </w:style>
  <w:style w:type="paragraph" w:styleId="Heading1">
    <w:name w:val="heading 1"/>
    <w:basedOn w:val="Normal"/>
    <w:next w:val="Normal"/>
    <w:link w:val="Heading1Char"/>
    <w:uiPriority w:val="9"/>
    <w:qFormat/>
    <w:rsid w:val="002A1C14"/>
    <w:pPr>
      <w:keepNext/>
      <w:keepLines/>
      <w:numPr>
        <w:numId w:val="26"/>
      </w:numPr>
      <w:tabs>
        <w:tab w:val="left" w:pos="1134"/>
      </w:tabs>
      <w:spacing w:before="120" w:after="240"/>
      <w:outlineLvl w:val="0"/>
    </w:pPr>
    <w:rPr>
      <w:b/>
      <w:bCs/>
      <w:sz w:val="28"/>
      <w:szCs w:val="28"/>
    </w:rPr>
  </w:style>
  <w:style w:type="paragraph" w:styleId="Heading2">
    <w:name w:val="heading 2"/>
    <w:basedOn w:val="Normal"/>
    <w:next w:val="Normal"/>
    <w:link w:val="Heading2Char"/>
    <w:uiPriority w:val="9"/>
    <w:qFormat/>
    <w:rsid w:val="00062767"/>
    <w:pPr>
      <w:keepNext/>
      <w:keepLines/>
      <w:numPr>
        <w:numId w:val="27"/>
      </w:numPr>
      <w:tabs>
        <w:tab w:val="left" w:pos="1134"/>
      </w:tabs>
      <w:spacing w:before="200" w:after="120"/>
      <w:outlineLvl w:val="1"/>
    </w:pPr>
    <w:rPr>
      <w:b/>
      <w:bCs/>
      <w:szCs w:val="26"/>
    </w:rPr>
  </w:style>
  <w:style w:type="paragraph" w:styleId="Heading3">
    <w:name w:val="heading 3"/>
    <w:basedOn w:val="Normal"/>
    <w:next w:val="Normal"/>
    <w:link w:val="Heading3Char"/>
    <w:uiPriority w:val="9"/>
    <w:qFormat/>
    <w:rsid w:val="00F47EB7"/>
    <w:pPr>
      <w:keepNext/>
      <w:keepLines/>
      <w:numPr>
        <w:ilvl w:val="2"/>
        <w:numId w:val="26"/>
      </w:numPr>
      <w:spacing w:before="200"/>
      <w:outlineLvl w:val="2"/>
    </w:pPr>
    <w:rPr>
      <w:b/>
      <w:bCs/>
    </w:rPr>
  </w:style>
  <w:style w:type="paragraph" w:styleId="Heading4">
    <w:name w:val="heading 4"/>
    <w:basedOn w:val="Normal"/>
    <w:next w:val="Normal"/>
    <w:link w:val="Heading4Char"/>
    <w:uiPriority w:val="9"/>
    <w:qFormat/>
    <w:rsid w:val="001D6659"/>
    <w:pPr>
      <w:keepNext/>
      <w:keepLines/>
      <w:numPr>
        <w:ilvl w:val="3"/>
        <w:numId w:val="26"/>
      </w:numPr>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numPr>
        <w:ilvl w:val="4"/>
        <w:numId w:val="26"/>
      </w:numPr>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numPr>
        <w:ilvl w:val="5"/>
        <w:numId w:val="26"/>
      </w:numPr>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numPr>
        <w:ilvl w:val="6"/>
        <w:numId w:val="26"/>
      </w:numPr>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numPr>
        <w:ilvl w:val="7"/>
        <w:numId w:val="26"/>
      </w:numPr>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numPr>
        <w:ilvl w:val="8"/>
        <w:numId w:val="26"/>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1C14"/>
    <w:rPr>
      <w:b/>
      <w:bCs/>
      <w:sz w:val="28"/>
      <w:szCs w:val="28"/>
      <w:lang w:val="en-US" w:eastAsia="en-US" w:bidi="en-US"/>
    </w:rPr>
  </w:style>
  <w:style w:type="character" w:customStyle="1" w:styleId="Heading2Char">
    <w:name w:val="Heading 2 Char"/>
    <w:link w:val="Heading2"/>
    <w:uiPriority w:val="9"/>
    <w:rsid w:val="00062767"/>
    <w:rPr>
      <w:b/>
      <w:bCs/>
      <w:szCs w:val="26"/>
      <w:lang w:val="en-US" w:eastAsia="en-US" w:bidi="en-US"/>
    </w:rPr>
  </w:style>
  <w:style w:type="character" w:customStyle="1" w:styleId="Heading3Char">
    <w:name w:val="Heading 3 Char"/>
    <w:link w:val="Heading3"/>
    <w:uiPriority w:val="9"/>
    <w:rsid w:val="00F47EB7"/>
    <w:rPr>
      <w:b/>
      <w:bCs/>
      <w:szCs w:val="22"/>
      <w:lang w:val="en-US" w:eastAsia="en-US" w:bidi="en-US"/>
    </w:rPr>
  </w:style>
  <w:style w:type="character" w:customStyle="1" w:styleId="Heading4Char">
    <w:name w:val="Heading 4 Char"/>
    <w:link w:val="Heading4"/>
    <w:uiPriority w:val="9"/>
    <w:semiHidden/>
    <w:rsid w:val="001D6659"/>
    <w:rPr>
      <w:rFonts w:ascii="Cambria" w:hAnsi="Cambria"/>
      <w:b/>
      <w:bCs/>
      <w:i/>
      <w:iCs/>
      <w:color w:val="4F81BD"/>
      <w:szCs w:val="22"/>
      <w:lang w:val="en-US" w:eastAsia="en-US" w:bidi="en-US"/>
    </w:rPr>
  </w:style>
  <w:style w:type="character" w:customStyle="1" w:styleId="Heading5Char">
    <w:name w:val="Heading 5 Char"/>
    <w:link w:val="Heading5"/>
    <w:uiPriority w:val="9"/>
    <w:semiHidden/>
    <w:rsid w:val="001D6659"/>
    <w:rPr>
      <w:rFonts w:ascii="Cambria" w:hAnsi="Cambria"/>
      <w:color w:val="243F60"/>
      <w:szCs w:val="22"/>
      <w:lang w:val="en-US" w:eastAsia="en-US" w:bidi="en-US"/>
    </w:rPr>
  </w:style>
  <w:style w:type="character" w:customStyle="1" w:styleId="Heading6Char">
    <w:name w:val="Heading 6 Char"/>
    <w:link w:val="Heading6"/>
    <w:uiPriority w:val="9"/>
    <w:semiHidden/>
    <w:rsid w:val="001D6659"/>
    <w:rPr>
      <w:rFonts w:ascii="Cambria" w:hAnsi="Cambria"/>
      <w:i/>
      <w:iCs/>
      <w:color w:val="243F60"/>
      <w:szCs w:val="22"/>
      <w:lang w:val="en-US" w:eastAsia="en-US" w:bidi="en-US"/>
    </w:rPr>
  </w:style>
  <w:style w:type="character" w:customStyle="1" w:styleId="Heading7Char">
    <w:name w:val="Heading 7 Char"/>
    <w:link w:val="Heading7"/>
    <w:uiPriority w:val="9"/>
    <w:semiHidden/>
    <w:rsid w:val="001D6659"/>
    <w:rPr>
      <w:rFonts w:ascii="Cambria" w:hAnsi="Cambria"/>
      <w:i/>
      <w:iCs/>
      <w:color w:val="404040"/>
      <w:szCs w:val="22"/>
      <w:lang w:val="en-US" w:eastAsia="en-US" w:bidi="en-US"/>
    </w:rPr>
  </w:style>
  <w:style w:type="character" w:customStyle="1" w:styleId="Heading8Char">
    <w:name w:val="Heading 8 Char"/>
    <w:link w:val="Heading8"/>
    <w:uiPriority w:val="9"/>
    <w:semiHidden/>
    <w:rsid w:val="001D6659"/>
    <w:rPr>
      <w:rFonts w:ascii="Cambria" w:hAnsi="Cambria"/>
      <w:color w:val="4F81BD"/>
      <w:lang w:val="en-US" w:eastAsia="en-US" w:bidi="en-US"/>
    </w:rPr>
  </w:style>
  <w:style w:type="character" w:customStyle="1" w:styleId="Heading9Char">
    <w:name w:val="Heading 9 Char"/>
    <w:link w:val="Heading9"/>
    <w:uiPriority w:val="9"/>
    <w:semiHidden/>
    <w:rsid w:val="001D6659"/>
    <w:rPr>
      <w:rFonts w:ascii="Cambria" w:hAnsi="Cambria"/>
      <w:i/>
      <w:iCs/>
      <w:color w:val="404040"/>
      <w:lang w:val="en-US" w:eastAsia="en-US" w:bidi="en-US"/>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1D6659"/>
    <w:rPr>
      <w:rFonts w:ascii="Cambria" w:eastAsia="Times New Roman" w:hAnsi="Cambria" w:cs="Times New Roman"/>
      <w:i/>
      <w:iCs/>
      <w:color w:val="4F81BD"/>
      <w:spacing w:val="15"/>
      <w:sz w:val="24"/>
      <w:szCs w:val="24"/>
    </w:rPr>
  </w:style>
  <w:style w:type="character" w:styleId="Strong">
    <w:name w:val="Strong"/>
    <w:uiPriority w:val="22"/>
    <w:qFormat/>
    <w:rsid w:val="001D6659"/>
    <w:rPr>
      <w:b/>
      <w:bCs/>
    </w:rPr>
  </w:style>
  <w:style w:type="character" w:styleId="Emphasis">
    <w:name w:val="Emphasis"/>
    <w:uiPriority w:val="20"/>
    <w:qFormat/>
    <w:rsid w:val="001D6659"/>
    <w:rPr>
      <w:i/>
      <w:iCs/>
    </w:rPr>
  </w:style>
  <w:style w:type="paragraph" w:styleId="NoSpacing">
    <w:name w:val="No Spacing"/>
    <w:uiPriority w:val="1"/>
    <w:qFormat/>
    <w:rsid w:val="001D6659"/>
    <w:rPr>
      <w:sz w:val="22"/>
      <w:szCs w:val="22"/>
      <w:lang w:val="en-US"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D6659"/>
    <w:rPr>
      <w:b/>
      <w:bCs/>
      <w:i/>
      <w:iCs/>
      <w:color w:val="4F81BD"/>
    </w:rPr>
  </w:style>
  <w:style w:type="character" w:styleId="SubtleEmphasis">
    <w:name w:val="Subtle Emphasis"/>
    <w:uiPriority w:val="19"/>
    <w:qFormat/>
    <w:rsid w:val="005869A2"/>
    <w:rPr>
      <w:rFonts w:ascii="Arial" w:hAnsi="Arial"/>
      <w:iCs/>
      <w:color w:val="auto"/>
      <w:sz w:val="16"/>
    </w:rPr>
  </w:style>
  <w:style w:type="character" w:styleId="IntenseEmphasis">
    <w:name w:val="Intense Emphasis"/>
    <w:uiPriority w:val="21"/>
    <w:qFormat/>
    <w:rsid w:val="001D6659"/>
    <w:rPr>
      <w:b/>
      <w:bCs/>
      <w:i/>
      <w:iCs/>
      <w:color w:val="4F81BD"/>
    </w:rPr>
  </w:style>
  <w:style w:type="character" w:styleId="SubtleReference">
    <w:name w:val="Subtle Reference"/>
    <w:uiPriority w:val="31"/>
    <w:qFormat/>
    <w:rsid w:val="001D6659"/>
    <w:rPr>
      <w:smallCaps/>
      <w:color w:val="C0504D"/>
      <w:u w:val="single"/>
    </w:rPr>
  </w:style>
  <w:style w:type="character" w:styleId="IntenseReference">
    <w:name w:val="Intense Reference"/>
    <w:uiPriority w:val="32"/>
    <w:qFormat/>
    <w:rsid w:val="001D6659"/>
    <w:rPr>
      <w:b/>
      <w:bCs/>
      <w:smallCaps/>
      <w:color w:val="C0504D"/>
      <w:spacing w:val="5"/>
      <w:u w:val="single"/>
    </w:rPr>
  </w:style>
  <w:style w:type="character" w:styleId="BookTitle">
    <w:name w:val="Book Title"/>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nhideWhenUsed/>
    <w:rsid w:val="00132CFB"/>
    <w:pPr>
      <w:tabs>
        <w:tab w:val="center" w:pos="4513"/>
        <w:tab w:val="right" w:pos="9026"/>
      </w:tabs>
    </w:pPr>
    <w:rPr>
      <w:sz w:val="16"/>
    </w:rPr>
  </w:style>
  <w:style w:type="character" w:customStyle="1" w:styleId="HeaderChar">
    <w:name w:val="Header Char"/>
    <w:link w:val="Header"/>
    <w:rsid w:val="00132CFB"/>
    <w:rPr>
      <w:sz w:val="16"/>
      <w:szCs w:val="22"/>
      <w:lang w:val="en-US" w:eastAsia="en-US" w:bidi="en-US"/>
    </w:rPr>
  </w:style>
  <w:style w:type="paragraph" w:styleId="Footer">
    <w:name w:val="footer"/>
    <w:basedOn w:val="Normal"/>
    <w:link w:val="FooterChar"/>
    <w:uiPriority w:val="99"/>
    <w:unhideWhenUsed/>
    <w:rsid w:val="00132CFB"/>
    <w:pPr>
      <w:tabs>
        <w:tab w:val="center" w:pos="4513"/>
        <w:tab w:val="right" w:pos="9026"/>
      </w:tabs>
    </w:pPr>
    <w:rPr>
      <w:sz w:val="16"/>
    </w:rPr>
  </w:style>
  <w:style w:type="character" w:customStyle="1" w:styleId="FooterChar">
    <w:name w:val="Footer Char"/>
    <w:link w:val="Footer"/>
    <w:uiPriority w:val="99"/>
    <w:rsid w:val="00132CFB"/>
    <w:rPr>
      <w:sz w:val="16"/>
      <w:szCs w:val="22"/>
      <w:lang w:val="en-US" w:eastAsia="en-US" w:bidi="en-US"/>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869A2"/>
    <w:rPr>
      <w:color w:val="0000FF"/>
      <w:u w:val="single"/>
    </w:rPr>
  </w:style>
  <w:style w:type="paragraph" w:styleId="ListNumber">
    <w:name w:val="List Number"/>
    <w:basedOn w:val="Normal"/>
    <w:uiPriority w:val="99"/>
    <w:unhideWhenUsed/>
    <w:rsid w:val="001D3B1D"/>
    <w:pPr>
      <w:spacing w:before="120" w:after="120"/>
      <w:contextualSpacing/>
    </w:pPr>
    <w:rPr>
      <w:b/>
    </w:rPr>
  </w:style>
  <w:style w:type="paragraph" w:styleId="ListNumber2">
    <w:name w:val="List Number 2"/>
    <w:basedOn w:val="Normal"/>
    <w:uiPriority w:val="99"/>
    <w:unhideWhenUsed/>
    <w:rsid w:val="001D3B1D"/>
    <w:pPr>
      <w:numPr>
        <w:numId w:val="17"/>
      </w:numPr>
      <w:contextualSpacing/>
    </w:pPr>
  </w:style>
  <w:style w:type="paragraph" w:styleId="ListContinue2">
    <w:name w:val="List Continue 2"/>
    <w:basedOn w:val="Normal"/>
    <w:uiPriority w:val="99"/>
    <w:unhideWhenUsed/>
    <w:rsid w:val="001D3B1D"/>
    <w:pPr>
      <w:spacing w:after="120"/>
      <w:ind w:left="566"/>
      <w:contextualSpacing/>
    </w:pPr>
  </w:style>
  <w:style w:type="numbering" w:customStyle="1" w:styleId="ANUTOC">
    <w:name w:val="ANU_TOC"/>
    <w:basedOn w:val="NoList"/>
    <w:uiPriority w:val="99"/>
    <w:rsid w:val="003D09BD"/>
    <w:pPr>
      <w:numPr>
        <w:numId w:val="24"/>
      </w:numPr>
    </w:pPr>
  </w:style>
  <w:style w:type="paragraph" w:customStyle="1" w:styleId="ANUList">
    <w:name w:val="ANU_List"/>
    <w:basedOn w:val="Normal"/>
    <w:link w:val="ANUListChar"/>
    <w:qFormat/>
    <w:rsid w:val="00FD0728"/>
    <w:pPr>
      <w:numPr>
        <w:numId w:val="29"/>
      </w:numPr>
      <w:tabs>
        <w:tab w:val="left" w:pos="369"/>
      </w:tabs>
      <w:spacing w:line="480" w:lineRule="auto"/>
      <w:ind w:left="369"/>
    </w:pPr>
    <w:rPr>
      <w:b/>
    </w:rPr>
  </w:style>
  <w:style w:type="character" w:styleId="CommentReference">
    <w:name w:val="annotation reference"/>
    <w:basedOn w:val="DefaultParagraphFont"/>
    <w:rsid w:val="00D96CE9"/>
    <w:rPr>
      <w:sz w:val="18"/>
      <w:szCs w:val="18"/>
    </w:rPr>
  </w:style>
  <w:style w:type="character" w:customStyle="1" w:styleId="ANUListChar">
    <w:name w:val="ANU_List Char"/>
    <w:link w:val="ANUList"/>
    <w:rsid w:val="00FD0728"/>
    <w:rPr>
      <w:b/>
      <w:szCs w:val="22"/>
      <w:lang w:val="en-US" w:eastAsia="en-US" w:bidi="en-US"/>
    </w:rPr>
  </w:style>
  <w:style w:type="paragraph" w:styleId="CommentText">
    <w:name w:val="annotation text"/>
    <w:basedOn w:val="Normal"/>
    <w:link w:val="CommentTextChar"/>
    <w:rsid w:val="00D96CE9"/>
    <w:rPr>
      <w:sz w:val="24"/>
      <w:szCs w:val="24"/>
    </w:rPr>
  </w:style>
  <w:style w:type="character" w:customStyle="1" w:styleId="CommentTextChar">
    <w:name w:val="Comment Text Char"/>
    <w:basedOn w:val="DefaultParagraphFont"/>
    <w:link w:val="CommentText"/>
    <w:rsid w:val="00D96CE9"/>
    <w:rPr>
      <w:sz w:val="24"/>
      <w:szCs w:val="24"/>
      <w:lang w:val="en-US" w:bidi="en-US"/>
    </w:rPr>
  </w:style>
  <w:style w:type="paragraph" w:styleId="CommentSubject">
    <w:name w:val="annotation subject"/>
    <w:basedOn w:val="CommentText"/>
    <w:next w:val="CommentText"/>
    <w:link w:val="CommentSubjectChar"/>
    <w:rsid w:val="00D96CE9"/>
    <w:rPr>
      <w:b/>
      <w:bCs/>
      <w:sz w:val="20"/>
      <w:szCs w:val="20"/>
    </w:rPr>
  </w:style>
  <w:style w:type="character" w:customStyle="1" w:styleId="CommentSubjectChar">
    <w:name w:val="Comment Subject Char"/>
    <w:basedOn w:val="CommentTextChar"/>
    <w:link w:val="CommentSubject"/>
    <w:rsid w:val="00D96CE9"/>
    <w:rPr>
      <w:b/>
      <w:bCs/>
      <w:sz w:val="24"/>
      <w:szCs w:val="24"/>
      <w:lang w:val="en-US" w:bidi="en-US"/>
    </w:rPr>
  </w:style>
  <w:style w:type="paragraph" w:styleId="Revision">
    <w:name w:val="Revision"/>
    <w:hidden/>
    <w:uiPriority w:val="71"/>
    <w:semiHidden/>
    <w:rsid w:val="001F3DD7"/>
    <w:rPr>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tsd-guidelines-toc/$FILE/tsd-guidelin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A54A-98C1-497C-8988-4FE518E1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ANU AGENDA</vt:lpstr>
    </vt:vector>
  </TitlesOfParts>
  <Company>c</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 AGENDA</dc:title>
  <dc:creator>u5003633</dc:creator>
  <cp:lastModifiedBy>Anesh Nair</cp:lastModifiedBy>
  <cp:revision>2</cp:revision>
  <cp:lastPrinted>2014-11-24T03:21:00Z</cp:lastPrinted>
  <dcterms:created xsi:type="dcterms:W3CDTF">2016-03-08T23:07:00Z</dcterms:created>
  <dcterms:modified xsi:type="dcterms:W3CDTF">2016-03-08T23:07:00Z</dcterms:modified>
</cp:coreProperties>
</file>